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ОТЧЕТ ЭМГ: ПАЦИЕНТ №10</w:t>
      </w:r>
    </w:p>
    <w:p>
      <w:pPr>
        <w:pStyle w:val="Heading1"/>
      </w:pPr>
      <w:r>
        <w:t>АНАЛИЗ ПРОБЫ №1</w:t>
      </w:r>
    </w:p>
    <w:p>
      <w:pPr>
        <w:pStyle w:val="Heading2"/>
      </w:pPr>
      <w:r>
        <w:t>1. Временной анализ</w:t>
      </w:r>
    </w:p>
    <w:p>
      <w:r>
        <w:t>• Средняя амплитуда (M+STD): 3.68 мкВ</w:t>
        <w:br/>
      </w:r>
      <w:r>
        <w:t>• Медианная амплитуда: 3.00 мкВ</w:t>
        <w:br/>
      </w:r>
      <w:r>
        <w:t>• RMS (мощность сигнала): 1.15 мкВ</w:t>
        <w:br/>
      </w:r>
      <w:r>
        <w:t>• iEMG (интегральная активность): 21186.38 мкВ*с</w:t>
        <w:br/>
      </w:r>
      <w:r>
        <w:t>• ZCR (частота пересеч. нуля): 549.17 Гц</w:t>
        <w:br/>
      </w:r>
      <w:r>
        <w:t>• Амплитуда от пика до пика (P-P): 11.56 мкВ</w:t>
        <w:br/>
      </w:r>
      <w:r>
        <w:t>• Максимальная амплитуда: 5.95 мкВ</w:t>
        <w:br/>
      </w:r>
      <w:r>
        <w:t>• Минимальная амплитуда: -5.61 мкВ</w:t>
      </w:r>
    </w:p>
    <w:p>
      <w:r>
        <w:drawing>
          <wp:inline xmlns:a="http://schemas.openxmlformats.org/drawingml/2006/main" xmlns:pic="http://schemas.openxmlformats.org/drawingml/2006/picture">
            <wp:extent cx="5486400" cy="24398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39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438689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868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 Частотный анализ</w:t>
      </w:r>
    </w:p>
    <w:p>
      <w:r>
        <w:t>• Медианная частота (MDF): 178.21 Гц</w:t>
        <w:br/>
      </w:r>
      <w:r>
        <w:t>• Средняя частота (MNF): 241.11 Гц</w:t>
        <w:br/>
      </w:r>
      <w:r>
        <w:t>• Пиковая частота: 96.96 Гц</w:t>
        <w:br/>
      </w:r>
      <w:r>
        <w:t>• Коэффициент H/L (баланс): 3.291</w:t>
        <w:br/>
      </w:r>
      <w:r>
        <w:t>• Спектральная энтропия: 8.345</w:t>
        <w:br/>
      </w:r>
      <w:r>
        <w:t>• Утомление (Slope): 2.37 Гц/сек</w:t>
        <w:br/>
      </w:r>
      <w:r>
        <w:t>• Падение MDF за пробу: -33.8 %</w:t>
      </w:r>
    </w:p>
    <w:p>
      <w:r>
        <w:drawing>
          <wp:inline xmlns:a="http://schemas.openxmlformats.org/drawingml/2006/main" xmlns:pic="http://schemas.openxmlformats.org/drawingml/2006/picture">
            <wp:extent cx="5486400" cy="296331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633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1242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24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АНАЛИЗ ПРОБЫ №2</w:t>
      </w:r>
    </w:p>
    <w:p>
      <w:pPr>
        <w:pStyle w:val="Heading1"/>
      </w:pPr>
      <w:r>
        <w:t>АНАЛИЗ ПРОБЫ №3</w:t>
      </w:r>
    </w:p>
    <w:p>
      <w:pPr>
        <w:pStyle w:val="Heading1"/>
      </w:pPr>
      <w:r>
        <w:t>АНАЛИЗ ПРОБЫ №4</w:t>
      </w:r>
    </w:p>
    <w:p>
      <w:pPr>
        <w:pStyle w:val="Heading1"/>
      </w:pPr>
      <w:r>
        <w:t>АНАЛИЗ ПРОБЫ №5</w:t>
      </w:r>
    </w:p>
    <w:p>
      <w:pPr>
        <w:pStyle w:val="Heading1"/>
      </w:pPr>
      <w:r>
        <w:t>АНАЛИЗ ПРОБЫ №6</w:t>
      </w:r>
    </w:p>
    <w:p>
      <w:pPr>
        <w:pStyle w:val="Heading1"/>
      </w:pPr>
      <w:r>
        <w:t>АНАЛИЗ ПРОБЫ №7</w:t>
      </w:r>
    </w:p>
    <w:p>
      <w:pPr>
        <w:pStyle w:val="Heading1"/>
      </w:pPr>
      <w:r>
        <w:t>АНАЛИЗ ПРОБЫ №8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