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№67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3.87 мкВ</w:t>
        <w:br/>
      </w:r>
      <w:r>
        <w:t>• Медианная амплитуда: 2.64 мкВ</w:t>
        <w:br/>
      </w:r>
      <w:r>
        <w:t>• RMS (мощность сигнала): 2.65 мкВ</w:t>
        <w:br/>
      </w:r>
      <w:r>
        <w:t>• iEMG (интегральная активность): 35414.27 мкВ*с</w:t>
        <w:br/>
      </w:r>
      <w:r>
        <w:t>• ZCR (частота пересеч. нуля): 178.09 Гц</w:t>
        <w:br/>
      </w:r>
      <w:r>
        <w:t>• Амплитуда от пика до пика (P-P): 22.15 мкВ</w:t>
        <w:br/>
      </w:r>
      <w:r>
        <w:t>• Максимальная амплитуда: 10.27 мкВ</w:t>
        <w:br/>
      </w:r>
      <w:r>
        <w:t>• Минимальная амплитуда: -11.88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189.60 Гц</w:t>
        <w:br/>
      </w:r>
      <w:r>
        <w:t>• Средняя частота (MNF): 237.51 Гц</w:t>
        <w:br/>
      </w:r>
      <w:r>
        <w:t>• Пиковая частота: 172.01 Гц</w:t>
        <w:br/>
      </w:r>
      <w:r>
        <w:t>• Коэффициент H/L (баланс): 6.800</w:t>
        <w:br/>
      </w:r>
      <w:r>
        <w:t>• Спектральная энтропия: 7.992</w:t>
        <w:br/>
      </w:r>
      <w:r>
        <w:t>• Утомление (Slope): -28.77 Гц/сек</w:t>
        <w:br/>
      </w:r>
      <w:r>
        <w:t>• Падение MDF за пробу: 56.8 %</w:t>
      </w:r>
    </w:p>
    <w:p>
      <w:r>
        <w:drawing>
          <wp:inline xmlns:a="http://schemas.openxmlformats.org/drawingml/2006/main" xmlns:pic="http://schemas.openxmlformats.org/drawingml/2006/picture">
            <wp:extent cx="5486400" cy="29633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3.27 мкВ</w:t>
        <w:br/>
      </w:r>
      <w:r>
        <w:t>• Медианная амплитуда: 2.06 мкВ</w:t>
        <w:br/>
      </w:r>
      <w:r>
        <w:t>• RMS (мощность сигнала): 1.09 мкВ</w:t>
        <w:br/>
      </w:r>
      <w:r>
        <w:t>• iEMG (интегральная активность): 9022.03 мкВ*с</w:t>
        <w:br/>
      </w:r>
      <w:r>
        <w:t>• ZCR (частота пересеч. нуля): 568.81 Гц</w:t>
        <w:br/>
      </w:r>
      <w:r>
        <w:t>• Амплитуда от пика до пика (P-P): 16.13 мкВ</w:t>
        <w:br/>
      </w:r>
      <w:r>
        <w:t>• Максимальная амплитуда: 10.94 мкВ</w:t>
        <w:br/>
      </w:r>
      <w:r>
        <w:t>• Минимальная амплитуда: -5.20 мкВ</w:t>
      </w:r>
    </w:p>
    <w:p>
      <w:r>
        <w:drawing>
          <wp:inline xmlns:a="http://schemas.openxmlformats.org/drawingml/2006/main" xmlns:pic="http://schemas.openxmlformats.org/drawingml/2006/picture">
            <wp:extent cx="5486400" cy="2439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192.24 Гц</w:t>
        <w:br/>
      </w:r>
      <w:r>
        <w:t>• Средняя частота (MNF): 251.18 Гц</w:t>
        <w:br/>
      </w:r>
      <w:r>
        <w:t>• Пиковая частота: 139.56 Гц</w:t>
        <w:br/>
      </w:r>
      <w:r>
        <w:t>• Коэффициент H/L (баланс): 7.831</w:t>
        <w:br/>
      </w:r>
      <w:r>
        <w:t>• Спектральная энтропия: 7.664</w:t>
        <w:br/>
      </w:r>
      <w:r>
        <w:t>• Утомление (Slope): 2.26 Гц/сек</w:t>
        <w:br/>
      </w:r>
      <w:r>
        <w:t>• Падение MDF за пробу: -17.8 %</w:t>
      </w:r>
    </w:p>
    <w:p>
      <w:r>
        <w:drawing>
          <wp:inline xmlns:a="http://schemas.openxmlformats.org/drawingml/2006/main" xmlns:pic="http://schemas.openxmlformats.org/drawingml/2006/picture">
            <wp:extent cx="5486400" cy="29633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3.47 мкВ</w:t>
        <w:br/>
      </w:r>
      <w:r>
        <w:t>• Медианная амплитуда: 1.52 мкВ</w:t>
        <w:br/>
      </w:r>
      <w:r>
        <w:t>• RMS (мощность сигнала): 2.27 мкВ</w:t>
        <w:br/>
      </w:r>
      <w:r>
        <w:t>• iEMG (интегральная активность): 22761.06 мкВ*с</w:t>
        <w:br/>
      </w:r>
      <w:r>
        <w:t>• ZCR (частота пересеч. нуля): 402.08 Гц</w:t>
        <w:br/>
      </w:r>
      <w:r>
        <w:t>• Амплитуда от пика до пика (P-P): 24.20 мкВ</w:t>
        <w:br/>
      </w:r>
      <w:r>
        <w:t>• Максимальная амплитуда: 10.41 мкВ</w:t>
        <w:br/>
      </w:r>
      <w:r>
        <w:t>• Минимальная амплитуда: -13.79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177.21 Гц</w:t>
        <w:br/>
      </w:r>
      <w:r>
        <w:t>• Средняя частота (MNF): 222.22 Гц</w:t>
        <w:br/>
      </w:r>
      <w:r>
        <w:t>• Пиковая частота: 18.85 Гц</w:t>
        <w:br/>
      </w:r>
      <w:r>
        <w:t>• Коэффициент H/L (баланс): 4.283</w:t>
        <w:br/>
      </w:r>
      <w:r>
        <w:t>• Спектральная энтропия: 7.940</w:t>
        <w:br/>
      </w:r>
      <w:r>
        <w:t>• Утомление (Slope): 17.90 Гц/сек</w:t>
        <w:br/>
      </w:r>
      <w:r>
        <w:t>• Падение MDF за пробу: -1466.7 %</w:t>
      </w:r>
    </w:p>
    <w:p>
      <w:r>
        <w:drawing>
          <wp:inline xmlns:a="http://schemas.openxmlformats.org/drawingml/2006/main" xmlns:pic="http://schemas.openxmlformats.org/drawingml/2006/picture">
            <wp:extent cx="5486400" cy="29178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4.96 мкВ</w:t>
        <w:br/>
      </w:r>
      <w:r>
        <w:t>• Медианная амплитуда: 3.41 мкВ</w:t>
        <w:br/>
      </w:r>
      <w:r>
        <w:t>• RMS (мощность сигнала): 2.72 мкВ</w:t>
        <w:br/>
      </w:r>
      <w:r>
        <w:t>• iEMG (интегральная активность): 32102.26 мкВ*с</w:t>
        <w:br/>
      </w:r>
      <w:r>
        <w:t>• ZCR (частота пересеч. нуля): 360.03 Гц</w:t>
        <w:br/>
      </w:r>
      <w:r>
        <w:t>• Амплитуда от пика до пика (P-P): 25.17 мкВ</w:t>
        <w:br/>
      </w:r>
      <w:r>
        <w:t>• Максимальная амплитуда: 11.80 мкВ</w:t>
        <w:br/>
      </w:r>
      <w:r>
        <w:t>• Минимальная амплитуда: -13.37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188.44 Гц</w:t>
        <w:br/>
      </w:r>
      <w:r>
        <w:t>• Средняя частота (MNF): 226.29 Гц</w:t>
        <w:br/>
      </w:r>
      <w:r>
        <w:t>• Пиковая частота: 132.21 Гц</w:t>
        <w:br/>
      </w:r>
      <w:r>
        <w:t>• Коэффициент H/L (баланс): 7.277</w:t>
        <w:br/>
      </w:r>
      <w:r>
        <w:t>• Спектральная энтропия: 7.900</w:t>
        <w:br/>
      </w:r>
      <w:r>
        <w:t>• Утомление (Slope): -11.78 Гц/сек</w:t>
        <w:br/>
      </w:r>
      <w:r>
        <w:t>• Падение MDF за пробу: -669.2 %</w:t>
      </w:r>
    </w:p>
    <w:p>
      <w:r>
        <w:drawing>
          <wp:inline xmlns:a="http://schemas.openxmlformats.org/drawingml/2006/main" xmlns:pic="http://schemas.openxmlformats.org/drawingml/2006/picture">
            <wp:extent cx="5486400" cy="29633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