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develop a framework for coupling mode-destination accessibility with seismic risk assessment to identify communities at high risk for post-earthquake travel disruptions.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use a probabilistic seismic risk assessment procedure, including a stochastic set of earthquake events, ground-motion intensity maps, damage maps, and realizations of community impacts.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Accessibility varies more as a function of travelers' geographic location than as a function of their income class.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Communities more conducive to local trips by foot or bike are predicted to be less impacted by losses in accessibility.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SSRE highlights.docx</dc:title>
</cp:coreProperties>
</file>