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AEDCB61" w:rsidR="00227AAA" w:rsidRPr="001D7AF1" w:rsidRDefault="00872B69" w:rsidP="0015080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166EB8" w:rsidRPr="00166EB8">
              <w:rPr>
                <w:rFonts w:ascii="Al-Mohanad" w:hAnsi="Al-Mohanad" w:cs="Al-Mohanad"/>
                <w:sz w:val="30"/>
                <w:szCs w:val="30"/>
              </w:rPr>
              <w:t>OG/CC053435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6EB8" w:rsidRPr="00166EB8">
              <w:rPr>
                <w:rFonts w:ascii="Al-Mohanad" w:hAnsi="Al-Mohanad" w:cs="Al-Mohanad"/>
                <w:sz w:val="30"/>
                <w:szCs w:val="30"/>
              </w:rPr>
              <w:t>C/0043/24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98F6112" w:rsidR="00872B69" w:rsidRPr="003C2842" w:rsidRDefault="00872B69" w:rsidP="00166EB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166E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بيئة الإبداع للمقاولات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6E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66E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698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116c44f1-5dd1-4dba-9b67-7d817de06e51"/>
    <ds:schemaRef ds:uri="04effa5f-b871-4895-a95c-12b8d4119a94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A434D6F-A97F-43AA-BD8C-9F1B9C69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2025-01-19T08:41:00Z</dcterms:created>
  <dcterms:modified xsi:type="dcterms:W3CDTF">2025-01-19T08:41:00Z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