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7E254DB" w:rsidR="00D16391" w:rsidRPr="001D7AF1" w:rsidRDefault="00C503E3" w:rsidP="00C503E3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خدمات العمليات التجارية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477A35C" w:rsidR="00227AAA" w:rsidRPr="001D7AF1" w:rsidRDefault="00872B69" w:rsidP="00C503E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Pr="00872B69">
              <w:rPr>
                <w:rFonts w:ascii="Al-Mohanad" w:hAnsi="Al-Mohanad" w:cs="Al-Mohanad"/>
                <w:sz w:val="30"/>
                <w:szCs w:val="30"/>
              </w:rPr>
              <w:t>MD</w:t>
            </w:r>
            <w:r w:rsidR="00C503E3">
              <w:rPr>
                <w:rFonts w:ascii="Al-Mohanad" w:hAnsi="Al-Mohanad" w:cs="Al-Mohanad"/>
                <w:sz w:val="30"/>
                <w:szCs w:val="30"/>
              </w:rPr>
              <w:t>2331900040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C503E3">
              <w:rPr>
                <w:rFonts w:ascii="Al-Mohanad" w:hAnsi="Al-Mohanad" w:cs="Al-Mohanad"/>
                <w:sz w:val="30"/>
                <w:szCs w:val="30"/>
              </w:rPr>
              <w:t>0295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C503E3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90F6912" w:rsidR="00872B69" w:rsidRPr="003C2842" w:rsidRDefault="00872B69" w:rsidP="00C503E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C503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وكالة نحو الحوار للدعاية والإعلان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503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519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503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116c44f1-5dd1-4dba-9b67-7d817de06e51"/>
    <ds:schemaRef ds:uri="04effa5f-b871-4895-a95c-12b8d4119a94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8416D-BF65-40CA-8139-29BC20ADD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2024-11-18T07:25:00Z</cp:lastPrinted>
  <dcterms:created xsi:type="dcterms:W3CDTF">2024-11-18T07:39:00Z</dcterms:created>
  <dcterms:modified xsi:type="dcterms:W3CDTF">2024-11-18T07:39:00Z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