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750310B" w:rsidR="00227AAA" w:rsidRPr="001D7AF1" w:rsidRDefault="00872B69" w:rsidP="008847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847B6" w:rsidRPr="008847B6">
              <w:rPr>
                <w:rFonts w:ascii="Al-Mohanad Bold" w:hAnsi="Al-Mohanad Bold" w:cs="Al-Mohanad Bold"/>
                <w:sz w:val="30"/>
                <w:szCs w:val="30"/>
                <w:rtl/>
              </w:rPr>
              <w:t>ج094389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47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4227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1DE079D" w:rsidR="00872B69" w:rsidRPr="003C2842" w:rsidRDefault="00872B69" w:rsidP="008847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847B6">
              <w:rPr>
                <w:rFonts w:ascii="Al-Mohanad Bold" w:hAnsi="Al-Mohanad Bold" w:cs="Al-Mohanad Bold"/>
                <w:sz w:val="30"/>
                <w:szCs w:val="30"/>
                <w:rtl/>
              </w:rPr>
              <w:t>مؤسسات سقالة التجارية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47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847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686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847B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3438A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90DC25-521D-4E40-B274-F73AE22F9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2025-05-12T10:47:00Z</dcterms:created>
  <dcterms:modified xsi:type="dcterms:W3CDTF">2025-05-12T10:47:00Z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