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Commercial Deep Fryer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Commercial Deep Fryer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Allow safe cool down before internal inspection or drain work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oil tank, drain valve, filtration system, baskets and supports for leakage or damage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heating or ignition, flame stability and recovery behaviour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Compare thermostat indication with suitable temperature instrument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high limit status and reset indication without bypassing the device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contactors, heating elements or burner area only within authorisation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oil pump and filter hoses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castors, restraint, levelling and clearance under extraction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oil leakage, carbon buildup and condition affecting cleanability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05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Commercial Deep Fryer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