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characteristics of 319 female sex workers,
Cotonou, Benin, 2008–2012**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76"/>
        <w:gridCol w:w="3249"/>
      </w:tblGrid>
      <w:tr>
        <w:trPr>
          <w:trHeight w:val="572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319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Nationality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Benin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123.0 (38.6%)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Ghana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 (15.4%)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 (20.7%)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 (23.2%)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 (2.2%)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in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34.00 (27.00, 41.00)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in years (categories)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18 - 24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 (15.0%)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25 - 34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112.0 (35.1%)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&gt;=35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159.0 (49.8%)</w:t>
            </w:r>
          </w:p>
        </w:tc>
      </w:tr>
      <w:tr>
        <w:trPr>
          <w:trHeight w:val="57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educated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107.0 (33.5%)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126.0 (39.5%)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79.0 (24.8%)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Postsecondary, 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 (2.2%)</w:t>
            </w:r>
          </w:p>
        </w:tc>
      </w:tr>
      <w:tr>
        <w:trPr>
          <w:trHeight w:val="57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Marital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Married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 (6.6%)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102.0 (32.0%)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Divorced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149.0 (46.7%)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Widowed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47.0 (14.7%)</w:t>
            </w:r>
          </w:p>
        </w:tc>
      </w:tr>
      <w:tr>
        <w:trPr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Place of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Brothel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126.0 (39.6%)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24.0 (7.5%)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 (11.6%)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 (12.6%)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 (23.9%)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Nightclub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 (1.9%)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(2.8%)</w:t>
            </w:r>
          </w:p>
        </w:tc>
      </w:tr>
      <w:tr>
        <w:trPr>
          <w:trHeight w:val="59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in sex work, months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36.00 (16.00, 60.00)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clients, last 7 days of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13.00 (5.00, 26.00)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sexual intercourses, last 3 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(1.00, 11.00)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Consistent condom use with clients (last 7 days of work)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246.0 (77.1%)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Condom use with last client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279.0 (87.5%)</w:t>
            </w:r>
          </w:p>
        </w:tc>
      </w:tr>
      <w:tr>
        <w:trPr>
          <w:trHeight w:val="574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HIV/treatment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HIV positive, treated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 (15.4%)</w:t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HIV positive, not treated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82.0 (25.7%)</w:t>
            </w:r>
          </w:p>
        </w:tc>
      </w:tr>
      <w:tr>
        <w:trPr>
          <w:trHeight w:val="617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HIV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188.0 (58.9%)</w:t>
            </w:r>
          </w:p>
        </w:tc>
      </w:tr>
      <w:tr>
        <w:trPr>
          <w:trHeight w:val="617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 had anal sex (any partner)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 (5.0%)</w:t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 had oral sex (any partner)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62.0 (19.4%)</w:t>
            </w:r>
          </w:p>
        </w:tc>
      </w:tr>
      <w:tr>
        <w:trPr>
          <w:trHeight w:val="615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 (4.1%)</w:t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301.0 (94.4%)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 (1.6%)</w:t>
            </w:r>
          </w:p>
        </w:tc>
      </w:tr>
      <w:tr>
        <w:trPr>
          <w:trHeight w:val="615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CT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9.0 (2.8%)</w:t>
            </w:r>
          </w:p>
        </w:tc>
      </w:tr>
      <w:tr>
        <w:trPr>
          <w:trHeight w:val="617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305.0 (95.6%)</w:t>
            </w:r>
          </w:p>
        </w:tc>
      </w:tr>
      <w:tr>
        <w:trPr>
          <w:trHeight w:val="617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 (1.6%)</w:t>
            </w:r>
          </w:p>
        </w:tc>
      </w:tr>
      <w:tr>
        <w:trPr>
          <w:trHeight w:val="615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NG/CT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 (6.6%)</w:t>
            </w:r>
          </w:p>
        </w:tc>
      </w:tr>
      <w:tr>
        <w:trPr>
          <w:trHeight w:val="617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293.0 (91.8%)</w:t>
            </w:r>
          </w:p>
        </w:tc>
      </w:tr>
      <w:tr>
        <w:trPr>
          <w:trHeight w:val="617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answer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 (1.6%)</w:t>
            </w:r>
          </w:p>
        </w:tc>
      </w:tr>
      <w:tr>
        <w:trPr>
          <w:trHeight w:val="574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CD4 cell count/mm³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389.00 (214.50, 583.00)</w:t>
            </w:r>
          </w:p>
        </w:tc>
      </w:tr>
      <w:tr>
        <w:trPr>
          <w:trHeight w:val="57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body60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8,153.00 (154.00, 31,321.00)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2025-12-10T15:20:40Z</dcterms:modified>
  <cp:category/>
</cp:coreProperties>
</file>