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7868D1">
        <w:rPr>
          <w:color w:val="1E5E9F" w:themeColor="accent2" w:themeShade="BF"/>
          <w:sz w:val="40"/>
          <w:szCs w:val="40"/>
        </w:rPr>
        <w:t>pregleda prihvaćenih porudžbina od strane zaposlenog korisnika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7868D1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7868D1">
              <w:rPr>
                <w:sz w:val="24"/>
                <w:szCs w:val="24"/>
              </w:rPr>
              <w:t>Pantić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  <w:r w:rsidR="007003B7">
            <w:rPr>
              <w:color w:val="1E5E9F" w:themeColor="accent2" w:themeShade="BF"/>
            </w:rPr>
            <w:t>s</w:t>
          </w:r>
        </w:p>
        <w:p w:rsidR="007003B7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8674" w:history="1">
            <w:r w:rsidR="007003B7" w:rsidRPr="00397724">
              <w:rPr>
                <w:rStyle w:val="Hyperlink"/>
                <w:noProof/>
              </w:rPr>
              <w:t>1.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Uvod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5" w:history="1">
            <w:r w:rsidR="007003B7" w:rsidRPr="00397724">
              <w:rPr>
                <w:rStyle w:val="Hyperlink"/>
                <w:noProof/>
              </w:rPr>
              <w:t>1.1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Rezime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6" w:history="1">
            <w:r w:rsidR="007003B7" w:rsidRPr="00397724">
              <w:rPr>
                <w:rStyle w:val="Hyperlink"/>
                <w:noProof/>
              </w:rPr>
              <w:t>1.2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Namena dokumenta i ciljne grupe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_Toc477728676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7" w:history="1">
            <w:r w:rsidR="007003B7" w:rsidRPr="00397724">
              <w:rPr>
                <w:rStyle w:val="Hyperlink"/>
                <w:noProof/>
              </w:rPr>
              <w:t>1.3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Reference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_Toc477728677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8" w:history="1">
            <w:r w:rsidR="007003B7" w:rsidRPr="00397724">
              <w:rPr>
                <w:rStyle w:val="Hyperlink"/>
                <w:noProof/>
              </w:rPr>
              <w:t>1.4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Otvorena pitanja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_Toc477728678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9" w:history="1">
            <w:r w:rsidR="007003B7" w:rsidRPr="00397724">
              <w:rPr>
                <w:rStyle w:val="Hyperlink"/>
                <w:noProof/>
              </w:rPr>
              <w:t>2.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Scenario funkcionalnosti pregleda prihvaćenih porudžbina od strane zaposlenog korisnika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_Toc477728679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0" w:history="1">
            <w:r w:rsidR="007003B7" w:rsidRPr="00397724">
              <w:rPr>
                <w:rStyle w:val="Hyperlink"/>
                <w:noProof/>
              </w:rPr>
              <w:t>2.1 Kratak opis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_Toc477728680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1" w:history="1">
            <w:r w:rsidR="007003B7" w:rsidRPr="00397724">
              <w:rPr>
                <w:rStyle w:val="Hyperlink"/>
                <w:noProof/>
              </w:rPr>
              <w:t>2.2 Tok događaja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_Toc477728681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2" w:history="1">
            <w:r w:rsidR="007003B7" w:rsidRPr="00397724">
              <w:rPr>
                <w:rStyle w:val="Hyperlink"/>
                <w:noProof/>
              </w:rPr>
              <w:t>2.2.1 Zaposleni korisnik uspešno pregleda prihvaćene porudžbine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_Toc477728682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3" w:history="1">
            <w:r w:rsidR="007003B7" w:rsidRPr="00397724">
              <w:rPr>
                <w:rStyle w:val="Hyperlink"/>
                <w:noProof/>
                <w:lang w:val="sr-Latn-RS"/>
              </w:rPr>
              <w:t>2.3 Posebni zahtevi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_Toc477728683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4" w:history="1">
            <w:r w:rsidR="007003B7" w:rsidRPr="00397724">
              <w:rPr>
                <w:rStyle w:val="Hyperlink"/>
                <w:noProof/>
                <w:lang w:val="sr-Latn-RS"/>
              </w:rPr>
              <w:t>2.4 Preduslovi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7046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5" w:history="1">
            <w:r w:rsidR="007003B7" w:rsidRPr="00397724">
              <w:rPr>
                <w:rStyle w:val="Hyperlink"/>
                <w:noProof/>
                <w:lang w:val="sr-Latn-RS"/>
              </w:rPr>
              <w:t>2.5 Posledice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6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728674"/>
      <w:r>
        <w:lastRenderedPageBreak/>
        <w:t>Uvod</w:t>
      </w:r>
      <w:bookmarkEnd w:id="0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28675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7868D1">
        <w:t>pregleda prihvaćenih porudžbina od strane zaposlenog korisnika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28676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28677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28678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28679"/>
      <w:r>
        <w:lastRenderedPageBreak/>
        <w:t xml:space="preserve">Scenario funkcionalnosti </w:t>
      </w:r>
      <w:r w:rsidR="007868D1">
        <w:t>pregleda prihvaćenih porudžbina od strane zaposlenog korisnika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728680"/>
      <w:r>
        <w:t>2.1 Kratak opis</w:t>
      </w:r>
      <w:bookmarkEnd w:id="6"/>
      <w:r>
        <w:tab/>
      </w:r>
    </w:p>
    <w:p w:rsidR="000034C6" w:rsidRDefault="007868D1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Zaposleni korisnici mogu da izlistaju sve porudžbine koje su prihvaćene. To rade putem opcije „</w:t>
      </w:r>
      <w:r w:rsidR="003327F7">
        <w:rPr>
          <w:lang w:val="sr-Latn-RS"/>
        </w:rPr>
        <w:t>Accepted Orders</w:t>
      </w:r>
      <w:r>
        <w:rPr>
          <w:lang w:val="sr-Latn-RS"/>
        </w:rPr>
        <w:t>“, iz glavnog meni-a. Odabirom te opcije dobijaju listu svih prihvaćenih porudžbina</w:t>
      </w:r>
    </w:p>
    <w:p w:rsidR="00247AB3" w:rsidRDefault="000034C6" w:rsidP="000034C6">
      <w:pPr>
        <w:pStyle w:val="Heading2"/>
      </w:pPr>
      <w:r>
        <w:tab/>
      </w:r>
      <w:bookmarkStart w:id="7" w:name="_Toc477728681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728682"/>
      <w:r>
        <w:t xml:space="preserve">2.2.1 </w:t>
      </w:r>
      <w:r w:rsidR="007868D1">
        <w:t>Zaposleni korisnik uspešno pregleda prihvaćene porudžbine</w:t>
      </w:r>
      <w:bookmarkEnd w:id="8"/>
    </w:p>
    <w:p w:rsidR="00091A78" w:rsidRDefault="007868D1" w:rsidP="007868D1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3327F7">
        <w:rPr>
          <w:lang w:val="sr-Latn-RS"/>
        </w:rPr>
        <w:t>Accepted Orders</w:t>
      </w:r>
      <w:r>
        <w:rPr>
          <w:lang w:val="sr-Latn-RS"/>
        </w:rPr>
        <w:t>“, iz glavnog meni-a zaposleni korisnici odlaze na stranicu na kojoj su im izlistane sve prihvaćene porudžbine. Prikaz se sastoji od imena i prezimena naručioca, adrese dostave, kontakt telefona i koje sve specijalitete ta porudžbina sadrži u sebi. Ova stranica svakako je samo informativnog karaktera i služi zaposlenom korisniku da ima uvid u sve por</w:t>
      </w:r>
      <w:r w:rsidR="003327F7">
        <w:rPr>
          <w:lang w:val="sr-Latn-RS"/>
        </w:rPr>
        <w:t>u</w:t>
      </w:r>
      <w:r>
        <w:rPr>
          <w:lang w:val="sr-Latn-RS"/>
        </w:rPr>
        <w:t>džbine koje su prihvaćene, kako bi mogli da organizuju nabavku, pripremu i sve ostalo potrebno da ova porudžbina bude uspešno dostavljena poručiocu.</w:t>
      </w:r>
      <w:r w:rsidR="00091A78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9" w:name="_Toc477728683"/>
      <w:r>
        <w:rPr>
          <w:lang w:val="sr-Latn-RS"/>
        </w:rPr>
        <w:t>2.3 Posebni zahtevi</w:t>
      </w:r>
      <w:bookmarkEnd w:id="9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0" w:name="_Toc477728684"/>
      <w:r>
        <w:rPr>
          <w:lang w:val="sr-Latn-RS"/>
        </w:rPr>
        <w:t>2.4 Preduslovi</w:t>
      </w:r>
      <w:bookmarkEnd w:id="10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28685"/>
      <w:r>
        <w:rPr>
          <w:lang w:val="sr-Latn-RS"/>
        </w:rPr>
        <w:t>2.5 Posledice</w:t>
      </w:r>
      <w:bookmarkEnd w:id="11"/>
    </w:p>
    <w:p w:rsidR="00091A78" w:rsidRPr="00091A78" w:rsidRDefault="003327F7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Nema </w:t>
      </w:r>
      <w:bookmarkStart w:id="12" w:name="_GoBack"/>
      <w:bookmarkEnd w:id="12"/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66F" w:rsidRDefault="0070466F" w:rsidP="00656078">
      <w:pPr>
        <w:spacing w:after="0" w:line="240" w:lineRule="auto"/>
      </w:pPr>
      <w:r>
        <w:separator/>
      </w:r>
    </w:p>
  </w:endnote>
  <w:endnote w:type="continuationSeparator" w:id="0">
    <w:p w:rsidR="0070466F" w:rsidRDefault="0070466F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327F7" w:rsidRPr="003327F7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66F" w:rsidRDefault="0070466F" w:rsidP="00656078">
      <w:pPr>
        <w:spacing w:after="0" w:line="240" w:lineRule="auto"/>
      </w:pPr>
      <w:r>
        <w:separator/>
      </w:r>
    </w:p>
  </w:footnote>
  <w:footnote w:type="continuationSeparator" w:id="0">
    <w:p w:rsidR="0070466F" w:rsidRDefault="0070466F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207063"/>
    <w:rsid w:val="00247AB3"/>
    <w:rsid w:val="00271DD4"/>
    <w:rsid w:val="002E44CB"/>
    <w:rsid w:val="003327F7"/>
    <w:rsid w:val="0038735A"/>
    <w:rsid w:val="003D4060"/>
    <w:rsid w:val="003E6CD1"/>
    <w:rsid w:val="00412A6E"/>
    <w:rsid w:val="004C0013"/>
    <w:rsid w:val="00503041"/>
    <w:rsid w:val="00581763"/>
    <w:rsid w:val="005B2C99"/>
    <w:rsid w:val="005F6197"/>
    <w:rsid w:val="00656078"/>
    <w:rsid w:val="006A07E1"/>
    <w:rsid w:val="006B4735"/>
    <w:rsid w:val="007003B7"/>
    <w:rsid w:val="0070466F"/>
    <w:rsid w:val="00704DF9"/>
    <w:rsid w:val="007443E4"/>
    <w:rsid w:val="007827D0"/>
    <w:rsid w:val="007868D1"/>
    <w:rsid w:val="007967E9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3CFEA-03FA-4D58-8D5D-F40D9F14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4</cp:revision>
  <cp:lastPrinted>2017-03-05T23:00:00Z</cp:lastPrinted>
  <dcterms:created xsi:type="dcterms:W3CDTF">2017-03-19T22:15:00Z</dcterms:created>
  <dcterms:modified xsi:type="dcterms:W3CDTF">2017-04-03T23:32:00Z</dcterms:modified>
</cp:coreProperties>
</file>