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65128B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6C1AE4">
        <w:rPr>
          <w:color w:val="1E5E9F" w:themeColor="accent2" w:themeShade="BF"/>
          <w:sz w:val="40"/>
          <w:szCs w:val="40"/>
        </w:rPr>
        <w:t>slanja porudžbine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Pr="0065128B" w:rsidRDefault="0065128B" w:rsidP="0065128B">
            <w:pPr>
              <w:jc w:val="center"/>
              <w:rPr>
                <w:sz w:val="24"/>
                <w:szCs w:val="24"/>
              </w:rPr>
            </w:pPr>
            <w:r w:rsidRPr="0065128B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65128B" w:rsidRDefault="0065128B" w:rsidP="0065128B">
            <w:pPr>
              <w:jc w:val="center"/>
              <w:rPr>
                <w:sz w:val="24"/>
                <w:szCs w:val="24"/>
              </w:rPr>
            </w:pPr>
            <w:r w:rsidRPr="0065128B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65128B" w:rsidRDefault="0065128B" w:rsidP="0065128B">
            <w:pPr>
              <w:jc w:val="center"/>
              <w:rPr>
                <w:sz w:val="24"/>
                <w:szCs w:val="24"/>
              </w:rPr>
            </w:pPr>
            <w:r w:rsidRPr="0065128B"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65128B" w:rsidRDefault="0065128B" w:rsidP="0065128B">
            <w:pPr>
              <w:jc w:val="center"/>
              <w:rPr>
                <w:sz w:val="24"/>
                <w:szCs w:val="24"/>
              </w:rPr>
            </w:pPr>
            <w:r w:rsidRPr="0065128B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FE0382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31522" w:history="1">
            <w:r w:rsidR="00FE0382" w:rsidRPr="00FD6D1A">
              <w:rPr>
                <w:rStyle w:val="Hyperlink"/>
                <w:noProof/>
              </w:rPr>
              <w:t>1.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Uvod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_Toc479031522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4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3" w:history="1">
            <w:r w:rsidR="00FE0382" w:rsidRPr="00FD6D1A">
              <w:rPr>
                <w:rStyle w:val="Hyperlink"/>
                <w:noProof/>
              </w:rPr>
              <w:t>1.1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Rezime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_Toc479031523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4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4" w:history="1">
            <w:r w:rsidR="00FE0382" w:rsidRPr="00FD6D1A">
              <w:rPr>
                <w:rStyle w:val="Hyperlink"/>
                <w:noProof/>
              </w:rPr>
              <w:t>1.2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Namena dokumenta i ciljne grupe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_Toc479031524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4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5" w:history="1">
            <w:r w:rsidR="00FE0382" w:rsidRPr="00FD6D1A">
              <w:rPr>
                <w:rStyle w:val="Hyperlink"/>
                <w:noProof/>
              </w:rPr>
              <w:t>1.3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Reference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_Toc479031525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4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6" w:history="1">
            <w:r w:rsidR="00FE0382" w:rsidRPr="00FD6D1A">
              <w:rPr>
                <w:rStyle w:val="Hyperlink"/>
                <w:noProof/>
              </w:rPr>
              <w:t>1.4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Otvorena pitanja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_Toc479031526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4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7" w:history="1">
            <w:r w:rsidR="00FE0382" w:rsidRPr="00FD6D1A">
              <w:rPr>
                <w:rStyle w:val="Hyperlink"/>
                <w:noProof/>
              </w:rPr>
              <w:t>2.</w:t>
            </w:r>
            <w:r w:rsidR="00FE03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E0382" w:rsidRPr="00FD6D1A">
              <w:rPr>
                <w:rStyle w:val="Hyperlink"/>
                <w:noProof/>
              </w:rPr>
              <w:t>Scenario funkcionalnosti slanja porudžbine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_Toc479031527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5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8" w:history="1">
            <w:r w:rsidR="00FE0382" w:rsidRPr="00FD6D1A">
              <w:rPr>
                <w:rStyle w:val="Hyperlink"/>
                <w:noProof/>
              </w:rPr>
              <w:t>2.1 Kratak opis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_Toc479031528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5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29" w:history="1">
            <w:r w:rsidR="00FE0382" w:rsidRPr="00FD6D1A">
              <w:rPr>
                <w:rStyle w:val="Hyperlink"/>
                <w:noProof/>
              </w:rPr>
              <w:t>2.2 Tok događaja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_Toc479031529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5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0" w:history="1">
            <w:r w:rsidR="00FE0382" w:rsidRPr="00FD6D1A">
              <w:rPr>
                <w:rStyle w:val="Hyperlink"/>
                <w:noProof/>
              </w:rPr>
              <w:t>2.2.1 Korisnik uspešno šalje porudžbinu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_Toc479031530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5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1" w:history="1">
            <w:r w:rsidR="00FE0382" w:rsidRPr="00FD6D1A">
              <w:rPr>
                <w:rStyle w:val="Hyperlink"/>
                <w:noProof/>
                <w:lang w:val="sr-Latn-RS"/>
              </w:rPr>
              <w:t>2.2.2 Korisnik neuspešno šalje porudžbinu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_Toc479031531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5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2" w:history="1">
            <w:r w:rsidR="00FE0382" w:rsidRPr="00FD6D1A">
              <w:rPr>
                <w:rStyle w:val="Hyperlink"/>
                <w:noProof/>
                <w:lang w:val="sr-Latn-RS"/>
              </w:rPr>
              <w:t>2.3 Posebni zahtevi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_Toc479031532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6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3" w:history="1">
            <w:r w:rsidR="00FE0382" w:rsidRPr="00FD6D1A">
              <w:rPr>
                <w:rStyle w:val="Hyperlink"/>
                <w:noProof/>
                <w:lang w:val="sr-Latn-RS"/>
              </w:rPr>
              <w:t>2.4 Preduslovi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_Toc479031533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6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FE0382" w:rsidRDefault="00643F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1534" w:history="1">
            <w:r w:rsidR="00FE0382" w:rsidRPr="00FD6D1A">
              <w:rPr>
                <w:rStyle w:val="Hyperlink"/>
                <w:noProof/>
                <w:lang w:val="sr-Latn-RS"/>
              </w:rPr>
              <w:t>2.5 Posledice</w:t>
            </w:r>
            <w:r w:rsidR="00FE0382">
              <w:rPr>
                <w:noProof/>
                <w:webHidden/>
              </w:rPr>
              <w:tab/>
            </w:r>
            <w:r w:rsidR="00FE0382">
              <w:rPr>
                <w:noProof/>
                <w:webHidden/>
              </w:rPr>
              <w:fldChar w:fldCharType="begin"/>
            </w:r>
            <w:r w:rsidR="00FE0382">
              <w:rPr>
                <w:noProof/>
                <w:webHidden/>
              </w:rPr>
              <w:instrText xml:space="preserve"> PAGEREF _Toc479031534 \h </w:instrText>
            </w:r>
            <w:r w:rsidR="00FE0382">
              <w:rPr>
                <w:noProof/>
                <w:webHidden/>
              </w:rPr>
            </w:r>
            <w:r w:rsidR="00FE0382">
              <w:rPr>
                <w:noProof/>
                <w:webHidden/>
              </w:rPr>
              <w:fldChar w:fldCharType="separate"/>
            </w:r>
            <w:r w:rsidR="00FE0382">
              <w:rPr>
                <w:noProof/>
                <w:webHidden/>
              </w:rPr>
              <w:t>6</w:t>
            </w:r>
            <w:r w:rsidR="00FE0382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9031522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31523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>Definisanje scen</w:t>
      </w:r>
      <w:r w:rsidR="006C1AE4">
        <w:t>arija upotrebe funkcionalnosti slanja porudžbine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31524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31525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31526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31527"/>
      <w:r>
        <w:lastRenderedPageBreak/>
        <w:t xml:space="preserve">Scenario funkcionalnosti </w:t>
      </w:r>
      <w:r w:rsidR="006C1AE4">
        <w:t>slanja porudžbine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9031528"/>
      <w:r>
        <w:t>2.1 Kratak opis</w:t>
      </w:r>
      <w:bookmarkEnd w:id="6"/>
      <w:r>
        <w:tab/>
      </w:r>
    </w:p>
    <w:p w:rsidR="000034C6" w:rsidRDefault="006C1AE4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Korisnici mogu da šalju porudžbine odabirom specijaliteta koje žele da poruče putem opcije „</w:t>
      </w:r>
      <w:r w:rsidR="0065128B">
        <w:rPr>
          <w:lang w:val="sr-Latn-RS"/>
        </w:rPr>
        <w:t>Order</w:t>
      </w:r>
      <w:r>
        <w:rPr>
          <w:lang w:val="sr-Latn-RS"/>
        </w:rPr>
        <w:t>“</w:t>
      </w:r>
      <w:r w:rsidR="0065128B">
        <w:rPr>
          <w:lang w:val="sr-Latn-RS"/>
        </w:rPr>
        <w:t xml:space="preserve"> koja se nalazi pored svakog jela</w:t>
      </w:r>
      <w:r>
        <w:rPr>
          <w:lang w:val="sr-Latn-RS"/>
        </w:rPr>
        <w:t>. Nakon što korisnik kompletira svoju porudžbinu i pošalje je na sistem, čeka da ona bude prihvaćena.</w:t>
      </w:r>
    </w:p>
    <w:p w:rsidR="00247AB3" w:rsidRDefault="000034C6" w:rsidP="000034C6">
      <w:pPr>
        <w:pStyle w:val="Heading2"/>
      </w:pPr>
      <w:r>
        <w:tab/>
      </w:r>
      <w:bookmarkStart w:id="7" w:name="_Toc479031529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9031530"/>
      <w:r w:rsidR="006C1AE4">
        <w:t>2.2.1 Korisnik uspešno šalje porudžbinu</w:t>
      </w:r>
      <w:bookmarkEnd w:id="8"/>
    </w:p>
    <w:p w:rsidR="00091A78" w:rsidRDefault="006C1AE4" w:rsidP="00856F0C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klikom na opciju „</w:t>
      </w:r>
      <w:r w:rsidR="0065128B">
        <w:rPr>
          <w:lang w:val="sr-Latn-RS"/>
        </w:rPr>
        <w:t>Menu</w:t>
      </w:r>
      <w:r>
        <w:rPr>
          <w:lang w:val="sr-Latn-RS"/>
        </w:rPr>
        <w:t>“ prisupa menu-u. On može da pregleda ponudu i da odabere koji specijalitet želi da mu bude dosavljen. To radi klikom na dugme „</w:t>
      </w:r>
      <w:r w:rsidR="0065128B">
        <w:rPr>
          <w:lang w:val="sr-Latn-RS"/>
        </w:rPr>
        <w:t>Order</w:t>
      </w:r>
      <w:r>
        <w:rPr>
          <w:lang w:val="sr-Latn-RS"/>
        </w:rPr>
        <w:t xml:space="preserve">“ koje se nalazi </w:t>
      </w:r>
      <w:r w:rsidR="0065128B">
        <w:rPr>
          <w:lang w:val="sr-Latn-RS"/>
        </w:rPr>
        <w:t xml:space="preserve">pored svakog jela </w:t>
      </w:r>
      <w:r w:rsidR="00FE0382">
        <w:rPr>
          <w:lang w:val="sr-Latn-RS"/>
        </w:rPr>
        <w:t>na stranici.</w:t>
      </w:r>
      <w:r>
        <w:rPr>
          <w:lang w:val="sr-Latn-RS"/>
        </w:rPr>
        <w:t xml:space="preserve"> Nakon što obavi ovu akciju </w:t>
      </w:r>
      <w:r w:rsidR="0065128B">
        <w:rPr>
          <w:lang w:val="sr-Latn-RS"/>
        </w:rPr>
        <w:t>odabrano jelo se pojavljuje</w:t>
      </w:r>
      <w:r w:rsidR="00856F0C">
        <w:rPr>
          <w:lang w:val="sr-Latn-RS"/>
        </w:rPr>
        <w:t xml:space="preserve"> u </w:t>
      </w:r>
      <w:r w:rsidR="0065128B">
        <w:rPr>
          <w:lang w:val="sr-Latn-RS"/>
        </w:rPr>
        <w:t>sekciji „My orders“ gde može pratiti status svoje porudžbine.</w:t>
      </w:r>
    </w:p>
    <w:p w:rsidR="00091A78" w:rsidRPr="00955282" w:rsidRDefault="00091A78" w:rsidP="0065128B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Pr="00955282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9" w:name="_Toc479031532"/>
      <w:r>
        <w:rPr>
          <w:lang w:val="sr-Latn-RS"/>
        </w:rPr>
        <w:t>2.3 Posebni zahtevi</w:t>
      </w:r>
      <w:bookmarkEnd w:id="9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0" w:name="_Toc479031533"/>
      <w:r>
        <w:rPr>
          <w:lang w:val="sr-Latn-RS"/>
        </w:rPr>
        <w:t>2.4 Preduslovi</w:t>
      </w:r>
      <w:bookmarkEnd w:id="10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955282">
        <w:rPr>
          <w:lang w:val="sr-Latn-RS"/>
        </w:rPr>
        <w:t>bude prijavljen na sistem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9031534"/>
      <w:r>
        <w:rPr>
          <w:lang w:val="sr-Latn-RS"/>
        </w:rPr>
        <w:t>2.5 Posledice</w:t>
      </w:r>
      <w:bookmarkEnd w:id="11"/>
    </w:p>
    <w:p w:rsidR="00091A78" w:rsidRPr="00091A78" w:rsidRDefault="00BE7651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Posledica se ogleda </w:t>
      </w:r>
      <w:r w:rsidR="00955282">
        <w:rPr>
          <w:lang w:val="sr-Latn-RS"/>
        </w:rPr>
        <w:t xml:space="preserve">tome što nakon što je porudžbina </w:t>
      </w:r>
      <w:r w:rsidR="0065128B">
        <w:rPr>
          <w:lang w:val="sr-Latn-RS"/>
        </w:rPr>
        <w:t>naručena</w:t>
      </w:r>
      <w:bookmarkStart w:id="12" w:name="_GoBack"/>
      <w:bookmarkEnd w:id="12"/>
      <w:r w:rsidR="00955282">
        <w:rPr>
          <w:lang w:val="sr-Latn-RS"/>
        </w:rPr>
        <w:t>, porudžbina se pojavljuje u sekciji „</w:t>
      </w:r>
      <w:r w:rsidR="00FE0382">
        <w:rPr>
          <w:lang w:val="sr-Latn-RS"/>
        </w:rPr>
        <w:t>My Orders</w:t>
      </w:r>
      <w:r w:rsidR="00955282">
        <w:rPr>
          <w:lang w:val="sr-Latn-RS"/>
        </w:rPr>
        <w:t>“.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F45" w:rsidRDefault="00643F45" w:rsidP="00656078">
      <w:pPr>
        <w:spacing w:after="0" w:line="240" w:lineRule="auto"/>
      </w:pPr>
      <w:r>
        <w:separator/>
      </w:r>
    </w:p>
  </w:endnote>
  <w:endnote w:type="continuationSeparator" w:id="0">
    <w:p w:rsidR="00643F45" w:rsidRDefault="00643F45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5128B" w:rsidRPr="0065128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F45" w:rsidRDefault="00643F45" w:rsidP="00656078">
      <w:pPr>
        <w:spacing w:after="0" w:line="240" w:lineRule="auto"/>
      </w:pPr>
      <w:r>
        <w:separator/>
      </w:r>
    </w:p>
  </w:footnote>
  <w:footnote w:type="continuationSeparator" w:id="0">
    <w:p w:rsidR="00643F45" w:rsidRDefault="00643F45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9C17B3"/>
    <w:multiLevelType w:val="hybridMultilevel"/>
    <w:tmpl w:val="D062CF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247AB3"/>
    <w:rsid w:val="00271DD4"/>
    <w:rsid w:val="002E44CB"/>
    <w:rsid w:val="00316A91"/>
    <w:rsid w:val="0038735A"/>
    <w:rsid w:val="003D4060"/>
    <w:rsid w:val="003E38F1"/>
    <w:rsid w:val="003E6CD1"/>
    <w:rsid w:val="00412A6E"/>
    <w:rsid w:val="004C0013"/>
    <w:rsid w:val="00503041"/>
    <w:rsid w:val="00581763"/>
    <w:rsid w:val="005B2C99"/>
    <w:rsid w:val="005F6197"/>
    <w:rsid w:val="00621938"/>
    <w:rsid w:val="00643F45"/>
    <w:rsid w:val="0065128B"/>
    <w:rsid w:val="00656078"/>
    <w:rsid w:val="006A07E1"/>
    <w:rsid w:val="006B4735"/>
    <w:rsid w:val="006C1AE4"/>
    <w:rsid w:val="00704DF9"/>
    <w:rsid w:val="007443E4"/>
    <w:rsid w:val="007827D0"/>
    <w:rsid w:val="007967E9"/>
    <w:rsid w:val="007F0A45"/>
    <w:rsid w:val="008422D8"/>
    <w:rsid w:val="00856F0C"/>
    <w:rsid w:val="008B548E"/>
    <w:rsid w:val="008C5A7D"/>
    <w:rsid w:val="008E0A43"/>
    <w:rsid w:val="00955282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25675"/>
    <w:rsid w:val="00E43D2D"/>
    <w:rsid w:val="00E72B41"/>
    <w:rsid w:val="00EB7E4C"/>
    <w:rsid w:val="00F36439"/>
    <w:rsid w:val="00FA28B8"/>
    <w:rsid w:val="00FD4ADB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A0877D-2D36-4C25-A754-BD3002FB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56FEA-DEFD-425D-9B4E-1F1C54F3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5</cp:revision>
  <cp:lastPrinted>2017-03-05T23:00:00Z</cp:lastPrinted>
  <dcterms:created xsi:type="dcterms:W3CDTF">2017-03-19T20:20:00Z</dcterms:created>
  <dcterms:modified xsi:type="dcterms:W3CDTF">2017-06-15T23:22:00Z</dcterms:modified>
</cp:coreProperties>
</file>