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val="1"/>
        <w:tblW w:type="auto" w:w="0"/>
        <w:jc w:val="right"/>
        <w:tblLook w:firstColumn="1" w:firstRow="1" w:lastColumn="0" w:lastRow="0" w:noHBand="0" w:noVBand="1" w:val="04A0"/>
      </w:tblPr>
      <w:tblGrid>
        <w:gridCol w:w="10080"/>
      </w:tblGrid>
      <w:tr>
        <w:tc>
          <w:tcPr>
            <w:tcW w:type="dxa" w:w="10080"/>
            <w:shd w:val="clear" w:color="auto" w:fill="0B2A1C"/>
          </w:tcPr>
          <w:p>
            <w:pPr>
              <w:spacing w:after="480"/>
              <w:jc w:val="right"/>
            </w:pPr>
            <w:r/>
            <w:r>
              <w:drawing>
                <wp:inline xmlns:a="http://schemas.openxmlformats.org/drawingml/2006/main" xmlns:pic="http://schemas.openxmlformats.org/drawingml/2006/picture">
                  <wp:extent cx="2286000" cy="381311"/>
                  <wp:docPr id="1" name="Picture 1"/>
                  <wp:cNvGraphicFramePr>
                    <a:graphicFrameLocks noChangeAspect="1"/>
                  </wp:cNvGraphicFramePr>
                  <a:graphic>
                    <a:graphicData uri="http://schemas.openxmlformats.org/drawingml/2006/picture">
                      <pic:pic>
                        <pic:nvPicPr>
                          <pic:cNvPr id="0" name="logo-light.png"/>
                          <pic:cNvPicPr/>
                        </pic:nvPicPr>
                        <pic:blipFill>
                          <a:blip r:embed="rId9"/>
                          <a:stretch>
                            <a:fillRect/>
                          </a:stretch>
                        </pic:blipFill>
                        <pic:spPr>
                          <a:xfrm>
                            <a:off x="0" y="0"/>
                            <a:ext cx="2286000" cy="381311"/>
                          </a:xfrm>
                          <a:prstGeom prst="rect"/>
                        </pic:spPr>
                      </pic:pic>
                    </a:graphicData>
                  </a:graphic>
                </wp:inline>
              </w:drawing>
            </w:r>
          </w:p>
          <w:p>
            <w:pPr>
              <w:bidi w:val="1"/>
              <w:spacing w:after="80"/>
              <w:jc w:val="right"/>
            </w:pPr>
            <w:r>
              <w:rPr>
                <w:rFonts w:ascii="Tajawal" w:hAnsi="Tajawal" w:cs="Tajawal"/>
                <w:b w:val="0"/>
                <w:color w:val="8FBFA3"/>
                <w:sz w:val="18"/>
                <w:szCs w:val="18"/>
                <w:rtl w:val="1"/>
              </w:rPr>
              <w:t>عرض فنّي</w:t>
            </w:r>
          </w:p>
          <w:p>
            <w:pPr>
              <w:bidi w:val="1"/>
              <w:spacing w:after="120"/>
              <w:jc w:val="right"/>
            </w:pPr>
            <w:r>
              <w:rPr>
                <w:rFonts w:ascii="Tajawal" w:hAnsi="Tajawal" w:cs="Tajawal"/>
                <w:b/>
                <w:color w:val="FFFFFF"/>
                <w:sz w:val="52"/>
                <w:szCs w:val="52"/>
                <w:rtl w:val="1"/>
              </w:rPr>
              <w:t>ما سنبنيه، وبأي تقنية</w:t>
            </w:r>
          </w:p>
          <w:p>
            <w:pPr>
              <w:bidi w:val="1"/>
              <w:spacing w:after="160"/>
              <w:jc w:val="right"/>
            </w:pPr>
            <w:r>
              <w:rPr>
                <w:rFonts w:ascii="Tajawal" w:hAnsi="Tajawal" w:cs="Tajawal"/>
                <w:b w:val="0"/>
                <w:color w:val="8FBFA3"/>
                <w:sz w:val="28"/>
                <w:szCs w:val="28"/>
                <w:rtl w:val="1"/>
              </w:rPr>
              <w:t>عَوْنَك — منصّة خدمات المنزل والعائلة</w:t>
            </w:r>
          </w:p>
          <w:p>
            <w:pPr>
              <w:bidi w:val="1"/>
              <w:spacing w:line="360" w:lineRule="auto" w:after="280"/>
              <w:jc w:val="right"/>
            </w:pPr>
            <w:r>
              <w:rPr>
                <w:rFonts w:ascii="Tajawal" w:hAnsi="Tajawal" w:cs="Tajawal"/>
                <w:b w:val="0"/>
                <w:color w:val="B5CCBE"/>
                <w:sz w:val="20"/>
                <w:szCs w:val="20"/>
                <w:rtl w:val="1"/>
              </w:rPr>
              <w:t>التوصيف الهندسي الكامل للمنصّة: معمارية النظام، وحزمة التقنيات المعتمدة، ونموذج البيانات، ومحرّك توزيع الطلبات، ودورة حياة الطلب، والطبقة المالية والعمولات، والتكاملات الخارجية، ومعايير الأمان والأداء والتوسّع — ونطاق المرحلة الأولى بدقّة.</w:t>
            </w:r>
          </w:p>
          <w:tbl>
            <w:tblPr>
              <w:bidiVisual w:val="1"/>
              <w:tblW w:type="auto" w:w="0"/>
              <w:jc w:val="right"/>
              <w:tblLook w:firstColumn="1" w:firstRow="1" w:lastColumn="0" w:lastRow="0" w:noHBand="0" w:noVBand="1" w:val="04A0"/>
            </w:tblPr>
            <w:tblGrid>
              <w:gridCol w:w="2520"/>
              <w:gridCol w:w="2520"/>
              <w:gridCol w:w="2520"/>
              <w:gridCol w:w="2520"/>
            </w:tblGrid>
            <w:tr>
              <w:tc>
                <w:tcPr>
                  <w:tcW w:type="dxa" w:w="2520"/>
                  <w:shd w:val="clear" w:color="auto" w:fill="0B2A1C"/>
                </w:tcPr>
                <w:p>
                  <w:pPr>
                    <w:bidi w:val="1"/>
                    <w:spacing w:before="20" w:after="20"/>
                    <w:jc w:val="right"/>
                  </w:pPr>
                  <w:r/>
                  <w:r>
                    <w:rPr>
                      <w:rFonts w:ascii="Tajawal" w:hAnsi="Tajawal" w:cs="Tajawal"/>
                      <w:b w:val="0"/>
                      <w:color w:val="8FBFA3"/>
                      <w:sz w:val="16"/>
                      <w:szCs w:val="16"/>
                      <w:rtl w:val="1"/>
                    </w:rPr>
                    <w:t>المستند</w:t>
                  </w:r>
                </w:p>
              </w:tc>
              <w:tc>
                <w:tcPr>
                  <w:tcW w:type="dxa" w:w="2520"/>
                  <w:shd w:val="clear" w:color="auto" w:fill="0B2A1C"/>
                </w:tcPr>
                <w:p>
                  <w:pPr>
                    <w:bidi w:val="1"/>
                    <w:spacing w:before="20" w:after="20"/>
                    <w:jc w:val="right"/>
                  </w:pPr>
                  <w:r/>
                  <w:r>
                    <w:rPr>
                      <w:rFonts w:ascii="Tajawal" w:hAnsi="Tajawal" w:cs="Tajawal"/>
                      <w:b w:val="0"/>
                      <w:color w:val="8FBFA3"/>
                      <w:sz w:val="16"/>
                      <w:szCs w:val="16"/>
                      <w:rtl w:val="1"/>
                    </w:rPr>
                    <w:t>الإصدار</w:t>
                  </w:r>
                </w:p>
              </w:tc>
              <w:tc>
                <w:tcPr>
                  <w:tcW w:type="dxa" w:w="2520"/>
                  <w:shd w:val="clear" w:color="auto" w:fill="0B2A1C"/>
                </w:tcPr>
                <w:p>
                  <w:pPr>
                    <w:bidi w:val="1"/>
                    <w:spacing w:before="20" w:after="20"/>
                    <w:jc w:val="right"/>
                  </w:pPr>
                  <w:r/>
                  <w:r>
                    <w:rPr>
                      <w:rFonts w:ascii="Tajawal" w:hAnsi="Tajawal" w:cs="Tajawal"/>
                      <w:b w:val="0"/>
                      <w:color w:val="8FBFA3"/>
                      <w:sz w:val="16"/>
                      <w:szCs w:val="16"/>
                      <w:rtl w:val="1"/>
                    </w:rPr>
                    <w:t>تاريخ الإصدار</w:t>
                  </w:r>
                </w:p>
              </w:tc>
              <w:tc>
                <w:tcPr>
                  <w:tcW w:type="dxa" w:w="2520"/>
                  <w:shd w:val="clear" w:color="auto" w:fill="0B2A1C"/>
                </w:tcPr>
                <w:p>
                  <w:pPr>
                    <w:bidi w:val="1"/>
                    <w:spacing w:before="20" w:after="20"/>
                    <w:jc w:val="right"/>
                  </w:pPr>
                  <w:r/>
                  <w:r>
                    <w:rPr>
                      <w:rFonts w:ascii="Tajawal" w:hAnsi="Tajawal" w:cs="Tajawal"/>
                      <w:b w:val="0"/>
                      <w:color w:val="8FBFA3"/>
                      <w:sz w:val="16"/>
                      <w:szCs w:val="16"/>
                      <w:rtl w:val="1"/>
                    </w:rPr>
                    <w:t>صالح حتى</w:t>
                  </w:r>
                </w:p>
              </w:tc>
            </w:tr>
            <w:tr>
              <w:tc>
                <w:tcPr>
                  <w:tcW w:type="dxa" w:w="2520"/>
                  <w:shd w:val="clear" w:color="auto" w:fill="0B2A1C"/>
                </w:tcPr>
                <w:p>
                  <w:pPr>
                    <w:bidi w:val="1"/>
                    <w:spacing w:before="20" w:after="20"/>
                    <w:jc w:val="right"/>
                  </w:pPr>
                  <w:r/>
                  <w:r>
                    <w:rPr>
                      <w:rFonts w:ascii="Tajawal" w:hAnsi="Tajawal" w:cs="Tajawal"/>
                      <w:b/>
                      <w:color w:val="FFFFFF"/>
                      <w:sz w:val="19"/>
                      <w:szCs w:val="19"/>
                      <w:rtl w:val="1"/>
                    </w:rPr>
                    <w:t>RAX-TEC-AWNAK-001</w:t>
                  </w:r>
                </w:p>
              </w:tc>
              <w:tc>
                <w:tcPr>
                  <w:tcW w:type="dxa" w:w="2520"/>
                  <w:shd w:val="clear" w:color="auto" w:fill="0B2A1C"/>
                </w:tcPr>
                <w:p>
                  <w:pPr>
                    <w:bidi w:val="1"/>
                    <w:spacing w:before="20" w:after="20"/>
                    <w:jc w:val="right"/>
                  </w:pPr>
                  <w:r/>
                  <w:r>
                    <w:rPr>
                      <w:rFonts w:ascii="Tajawal" w:hAnsi="Tajawal" w:cs="Tajawal"/>
                      <w:b/>
                      <w:color w:val="FFFFFF"/>
                      <w:sz w:val="19"/>
                      <w:szCs w:val="19"/>
                      <w:rtl w:val="1"/>
                    </w:rPr>
                    <w:t>Rev. A</w:t>
                  </w:r>
                </w:p>
              </w:tc>
              <w:tc>
                <w:tcPr>
                  <w:tcW w:type="dxa" w:w="2520"/>
                  <w:shd w:val="clear" w:color="auto" w:fill="0B2A1C"/>
                </w:tcPr>
                <w:p>
                  <w:pPr>
                    <w:bidi w:val="1"/>
                    <w:spacing w:before="20" w:after="20"/>
                    <w:jc w:val="right"/>
                  </w:pPr>
                  <w:r/>
                  <w:r>
                    <w:rPr>
                      <w:rFonts w:ascii="Tajawal" w:hAnsi="Tajawal" w:cs="Tajawal"/>
                      <w:b/>
                      <w:color w:val="FFFFFF"/>
                      <w:sz w:val="19"/>
                      <w:szCs w:val="19"/>
                      <w:rtl w:val="1"/>
                    </w:rPr>
                    <w:t>١٧ أغسطس ٢٠٢٦</w:t>
                  </w:r>
                </w:p>
              </w:tc>
              <w:tc>
                <w:tcPr>
                  <w:tcW w:type="dxa" w:w="2520"/>
                  <w:shd w:val="clear" w:color="auto" w:fill="0B2A1C"/>
                </w:tcPr>
                <w:p>
                  <w:pPr>
                    <w:bidi w:val="1"/>
                    <w:spacing w:before="20" w:after="20"/>
                    <w:jc w:val="right"/>
                  </w:pPr>
                  <w:r/>
                  <w:r>
                    <w:rPr>
                      <w:rFonts w:ascii="Tajawal" w:hAnsi="Tajawal" w:cs="Tajawal"/>
                      <w:b/>
                      <w:color w:val="FFFFFF"/>
                      <w:sz w:val="19"/>
                      <w:szCs w:val="19"/>
                      <w:rtl w:val="1"/>
                    </w:rPr>
                    <w:t>١٦ سبتمبر ٢٠٢٦</w:t>
                  </w:r>
                </w:p>
              </w:tc>
            </w:tr>
          </w:tbl>
          <w:p/>
          <w:p>
            <w:pPr>
              <w:bidi w:val="1"/>
              <w:spacing w:before="240" w:line="336" w:lineRule="auto"/>
              <w:jc w:val="right"/>
            </w:pPr>
            <w:r>
              <w:rPr>
                <w:rFonts w:ascii="Tajawal" w:hAnsi="Tajawal" w:cs="Tajawal"/>
                <w:b w:val="0"/>
                <w:color w:val="B5CCBE"/>
                <w:sz w:val="16"/>
                <w:szCs w:val="16"/>
                <w:rtl w:val="1"/>
              </w:rPr>
              <w:t>RoboAgentix For Software Development · الدوحة، قطر · roboagentix.ai · contact@roboagentix.ai · +974 3127 6894 أُعدّ لمالك مشروع «عَوْنَك» استناداً إلى وثيقة توصيف تطبيق خدمات المنزل والعائلة. يُقرأ مع المستند RAX-FIN-AWNAK-001 — العرض المالي وآلية العمل والتسليم.</w:t>
            </w:r>
          </w:p>
        </w:tc>
      </w:tr>
    </w:tbl>
    <w:p>
      <w:r>
        <w:br w:type="page"/>
      </w:r>
    </w:p>
    <w:p>
      <w:pPr>
        <w:keepNext/>
        <w:pBdr>
          <w:bottom w:val="single" w:sz="12" w:space="3" w:color="14512F"/>
        </w:pBdr>
        <w:bidi w:val="1"/>
        <w:spacing w:before="320" w:after="40"/>
        <w:jc w:val="right"/>
      </w:pPr>
      <w:r>
        <w:rPr>
          <w:rFonts w:ascii="Tajawal" w:hAnsi="Tajawal" w:cs="Tajawal"/>
          <w:b/>
          <w:color w:val="141414"/>
          <w:sz w:val="36"/>
          <w:szCs w:val="36"/>
          <w:rtl w:val="1"/>
        </w:rPr>
        <w:t>محتويات المستند</w:t>
      </w:r>
    </w:p>
    <w:p>
      <w:pPr>
        <w:bidi w:val="1"/>
        <w:spacing w:after="30"/>
        <w:jc w:val="right"/>
      </w:pPr>
      <w:r>
        <w:rPr>
          <w:rFonts w:ascii="Tajawal" w:hAnsi="Tajawal" w:cs="Tajawal"/>
          <w:b/>
          <w:color w:val="1D6B47"/>
          <w:sz w:val="19"/>
          <w:szCs w:val="19"/>
          <w:rtl w:val="1"/>
        </w:rPr>
        <w:t xml:space="preserve">١   </w:t>
      </w:r>
      <w:r>
        <w:rPr>
          <w:rFonts w:ascii="Tajawal" w:hAnsi="Tajawal" w:cs="Tajawal"/>
          <w:b w:val="0"/>
          <w:color w:val="333A36"/>
          <w:sz w:val="19"/>
          <w:szCs w:val="19"/>
          <w:rtl w:val="1"/>
        </w:rPr>
        <w:t>الملخّص التنفيذي</w:t>
      </w:r>
    </w:p>
    <w:p>
      <w:pPr>
        <w:bidi w:val="1"/>
        <w:spacing w:after="30"/>
        <w:jc w:val="right"/>
      </w:pPr>
      <w:r>
        <w:rPr>
          <w:rFonts w:ascii="Tajawal" w:hAnsi="Tajawal" w:cs="Tajawal"/>
          <w:b/>
          <w:color w:val="1D6B47"/>
          <w:sz w:val="19"/>
          <w:szCs w:val="19"/>
          <w:rtl w:val="1"/>
        </w:rPr>
        <w:t xml:space="preserve">٢   </w:t>
      </w:r>
      <w:r>
        <w:rPr>
          <w:rFonts w:ascii="Tajawal" w:hAnsi="Tajawal" w:cs="Tajawal"/>
          <w:b w:val="0"/>
          <w:color w:val="333A36"/>
          <w:sz w:val="19"/>
          <w:szCs w:val="19"/>
          <w:rtl w:val="1"/>
        </w:rPr>
        <w:t>فهم المشروع وحدود النطاق</w:t>
      </w:r>
    </w:p>
    <w:p>
      <w:pPr>
        <w:bidi w:val="1"/>
        <w:spacing w:after="30"/>
        <w:jc w:val="right"/>
      </w:pPr>
      <w:r>
        <w:rPr>
          <w:rFonts w:ascii="Tajawal" w:hAnsi="Tajawal" w:cs="Tajawal"/>
          <w:b/>
          <w:color w:val="1D6B47"/>
          <w:sz w:val="19"/>
          <w:szCs w:val="19"/>
          <w:rtl w:val="1"/>
        </w:rPr>
        <w:t xml:space="preserve">٣   </w:t>
      </w:r>
      <w:r>
        <w:rPr>
          <w:rFonts w:ascii="Tajawal" w:hAnsi="Tajawal" w:cs="Tajawal"/>
          <w:b w:val="0"/>
          <w:color w:val="333A36"/>
          <w:sz w:val="19"/>
          <w:szCs w:val="19"/>
          <w:rtl w:val="1"/>
        </w:rPr>
        <w:t>المعمارية العامة للنظام</w:t>
      </w:r>
    </w:p>
    <w:p>
      <w:pPr>
        <w:bidi w:val="1"/>
        <w:spacing w:after="30"/>
        <w:jc w:val="right"/>
      </w:pPr>
      <w:r>
        <w:rPr>
          <w:rFonts w:ascii="Tajawal" w:hAnsi="Tajawal" w:cs="Tajawal"/>
          <w:b/>
          <w:color w:val="1D6B47"/>
          <w:sz w:val="19"/>
          <w:szCs w:val="19"/>
          <w:rtl w:val="1"/>
        </w:rPr>
        <w:t xml:space="preserve">٤   </w:t>
      </w:r>
      <w:r>
        <w:rPr>
          <w:rFonts w:ascii="Tajawal" w:hAnsi="Tajawal" w:cs="Tajawal"/>
          <w:b w:val="0"/>
          <w:color w:val="333A36"/>
          <w:sz w:val="19"/>
          <w:szCs w:val="19"/>
          <w:rtl w:val="1"/>
        </w:rPr>
        <w:t>حزمة التقنيات ومبرّرات الاختيار</w:t>
      </w:r>
    </w:p>
    <w:p>
      <w:pPr>
        <w:bidi w:val="1"/>
        <w:spacing w:after="30"/>
        <w:jc w:val="right"/>
      </w:pPr>
      <w:r>
        <w:rPr>
          <w:rFonts w:ascii="Tajawal" w:hAnsi="Tajawal" w:cs="Tajawal"/>
          <w:b/>
          <w:color w:val="1D6B47"/>
          <w:sz w:val="19"/>
          <w:szCs w:val="19"/>
          <w:rtl w:val="1"/>
        </w:rPr>
        <w:t xml:space="preserve">٥   </w:t>
      </w:r>
      <w:r>
        <w:rPr>
          <w:rFonts w:ascii="Tajawal" w:hAnsi="Tajawal" w:cs="Tajawal"/>
          <w:b w:val="0"/>
          <w:color w:val="333A36"/>
          <w:sz w:val="19"/>
          <w:szCs w:val="19"/>
          <w:rtl w:val="1"/>
        </w:rPr>
        <w:t>نموذج البيانات وقاعدة البيانات</w:t>
      </w:r>
    </w:p>
    <w:p>
      <w:pPr>
        <w:bidi w:val="1"/>
        <w:spacing w:after="30"/>
        <w:jc w:val="right"/>
      </w:pPr>
      <w:r>
        <w:rPr>
          <w:rFonts w:ascii="Tajawal" w:hAnsi="Tajawal" w:cs="Tajawal"/>
          <w:b/>
          <w:color w:val="1D6B47"/>
          <w:sz w:val="19"/>
          <w:szCs w:val="19"/>
          <w:rtl w:val="1"/>
        </w:rPr>
        <w:t xml:space="preserve">٦   </w:t>
      </w:r>
      <w:r>
        <w:rPr>
          <w:rFonts w:ascii="Tajawal" w:hAnsi="Tajawal" w:cs="Tajawal"/>
          <w:b w:val="0"/>
          <w:color w:val="333A36"/>
          <w:sz w:val="19"/>
          <w:szCs w:val="19"/>
          <w:rtl w:val="1"/>
        </w:rPr>
        <w:t>محرّك المطابقة وتوزيع الطلبات</w:t>
      </w:r>
    </w:p>
    <w:p>
      <w:pPr>
        <w:bidi w:val="1"/>
        <w:spacing w:after="30"/>
        <w:jc w:val="right"/>
      </w:pPr>
      <w:r>
        <w:rPr>
          <w:rFonts w:ascii="Tajawal" w:hAnsi="Tajawal" w:cs="Tajawal"/>
          <w:b/>
          <w:color w:val="1D6B47"/>
          <w:sz w:val="19"/>
          <w:szCs w:val="19"/>
          <w:rtl w:val="1"/>
        </w:rPr>
        <w:t xml:space="preserve">٧   </w:t>
      </w:r>
      <w:r>
        <w:rPr>
          <w:rFonts w:ascii="Tajawal" w:hAnsi="Tajawal" w:cs="Tajawal"/>
          <w:b w:val="0"/>
          <w:color w:val="333A36"/>
          <w:sz w:val="19"/>
          <w:szCs w:val="19"/>
          <w:rtl w:val="1"/>
        </w:rPr>
        <w:t>دورة حياة الطلب ونماذج التسعير</w:t>
      </w:r>
    </w:p>
    <w:p>
      <w:pPr>
        <w:bidi w:val="1"/>
        <w:spacing w:after="30"/>
        <w:jc w:val="right"/>
      </w:pPr>
      <w:r>
        <w:rPr>
          <w:rFonts w:ascii="Tajawal" w:hAnsi="Tajawal" w:cs="Tajawal"/>
          <w:b/>
          <w:color w:val="1D6B47"/>
          <w:sz w:val="19"/>
          <w:szCs w:val="19"/>
          <w:rtl w:val="1"/>
        </w:rPr>
        <w:t xml:space="preserve">٨   </w:t>
      </w:r>
      <w:r>
        <w:rPr>
          <w:rFonts w:ascii="Tajawal" w:hAnsi="Tajawal" w:cs="Tajawal"/>
          <w:b w:val="0"/>
          <w:color w:val="333A36"/>
          <w:sz w:val="19"/>
          <w:szCs w:val="19"/>
          <w:rtl w:val="1"/>
        </w:rPr>
        <w:t>المدفوعات والمحفظة والعمولة</w:t>
      </w:r>
    </w:p>
    <w:p>
      <w:pPr>
        <w:bidi w:val="1"/>
        <w:spacing w:after="30"/>
        <w:jc w:val="right"/>
      </w:pPr>
      <w:r>
        <w:rPr>
          <w:rFonts w:ascii="Tajawal" w:hAnsi="Tajawal" w:cs="Tajawal"/>
          <w:b/>
          <w:color w:val="1D6B47"/>
          <w:sz w:val="19"/>
          <w:szCs w:val="19"/>
          <w:rtl w:val="1"/>
        </w:rPr>
        <w:t xml:space="preserve">٩   </w:t>
      </w:r>
      <w:r>
        <w:rPr>
          <w:rFonts w:ascii="Tajawal" w:hAnsi="Tajawal" w:cs="Tajawal"/>
          <w:b w:val="0"/>
          <w:color w:val="333A36"/>
          <w:sz w:val="19"/>
          <w:szCs w:val="19"/>
          <w:rtl w:val="1"/>
        </w:rPr>
        <w:t>المحادثات الداخلية والإشعارات</w:t>
      </w:r>
    </w:p>
    <w:p>
      <w:pPr>
        <w:bidi w:val="1"/>
        <w:spacing w:after="30"/>
        <w:jc w:val="right"/>
      </w:pPr>
      <w:r>
        <w:rPr>
          <w:rFonts w:ascii="Tajawal" w:hAnsi="Tajawal" w:cs="Tajawal"/>
          <w:b/>
          <w:color w:val="1D6B47"/>
          <w:sz w:val="19"/>
          <w:szCs w:val="19"/>
          <w:rtl w:val="1"/>
        </w:rPr>
        <w:t xml:space="preserve">١٠   </w:t>
      </w:r>
      <w:r>
        <w:rPr>
          <w:rFonts w:ascii="Tajawal" w:hAnsi="Tajawal" w:cs="Tajawal"/>
          <w:b w:val="0"/>
          <w:color w:val="333A36"/>
          <w:sz w:val="19"/>
          <w:szCs w:val="19"/>
          <w:rtl w:val="1"/>
        </w:rPr>
        <w:t>البحث والتصفية ومعالجة اللغة العربية</w:t>
      </w:r>
    </w:p>
    <w:p>
      <w:pPr>
        <w:bidi w:val="1"/>
        <w:spacing w:after="30"/>
        <w:jc w:val="right"/>
      </w:pPr>
      <w:r>
        <w:rPr>
          <w:rFonts w:ascii="Tajawal" w:hAnsi="Tajawal" w:cs="Tajawal"/>
          <w:b/>
          <w:color w:val="1D6B47"/>
          <w:sz w:val="19"/>
          <w:szCs w:val="19"/>
          <w:rtl w:val="1"/>
        </w:rPr>
        <w:t xml:space="preserve">١١   </w:t>
      </w:r>
      <w:r>
        <w:rPr>
          <w:rFonts w:ascii="Tajawal" w:hAnsi="Tajawal" w:cs="Tajawal"/>
          <w:b w:val="0"/>
          <w:color w:val="333A36"/>
          <w:sz w:val="19"/>
          <w:szCs w:val="19"/>
          <w:rtl w:val="1"/>
        </w:rPr>
        <w:t>الخرائط والموقع الجغرافي</w:t>
      </w:r>
    </w:p>
    <w:p>
      <w:pPr>
        <w:bidi w:val="1"/>
        <w:spacing w:after="30"/>
        <w:jc w:val="right"/>
      </w:pPr>
      <w:r>
        <w:rPr>
          <w:rFonts w:ascii="Tajawal" w:hAnsi="Tajawal" w:cs="Tajawal"/>
          <w:b/>
          <w:color w:val="1D6B47"/>
          <w:sz w:val="19"/>
          <w:szCs w:val="19"/>
          <w:rtl w:val="1"/>
        </w:rPr>
        <w:t xml:space="preserve">١٢   </w:t>
      </w:r>
      <w:r>
        <w:rPr>
          <w:rFonts w:ascii="Tajawal" w:hAnsi="Tajawal" w:cs="Tajawal"/>
          <w:b w:val="0"/>
          <w:color w:val="333A36"/>
          <w:sz w:val="19"/>
          <w:szCs w:val="19"/>
          <w:rtl w:val="1"/>
        </w:rPr>
        <w:t>الهوية البصرية ونظام التصميم</w:t>
      </w:r>
    </w:p>
    <w:p>
      <w:pPr>
        <w:bidi w:val="1"/>
        <w:spacing w:after="30"/>
        <w:jc w:val="right"/>
      </w:pPr>
      <w:r>
        <w:rPr>
          <w:rFonts w:ascii="Tajawal" w:hAnsi="Tajawal" w:cs="Tajawal"/>
          <w:b/>
          <w:color w:val="1D6B47"/>
          <w:sz w:val="19"/>
          <w:szCs w:val="19"/>
          <w:rtl w:val="1"/>
        </w:rPr>
        <w:t xml:space="preserve">١٣   </w:t>
      </w:r>
      <w:r>
        <w:rPr>
          <w:rFonts w:ascii="Tajawal" w:hAnsi="Tajawal" w:cs="Tajawal"/>
          <w:b w:val="0"/>
          <w:color w:val="333A36"/>
          <w:sz w:val="19"/>
          <w:szCs w:val="19"/>
          <w:rtl w:val="1"/>
        </w:rPr>
        <w:t>تطبيق الهاتف — مسار العميل</w:t>
      </w:r>
    </w:p>
    <w:p>
      <w:pPr>
        <w:bidi w:val="1"/>
        <w:spacing w:after="30"/>
        <w:jc w:val="right"/>
      </w:pPr>
      <w:r>
        <w:rPr>
          <w:rFonts w:ascii="Tajawal" w:hAnsi="Tajawal" w:cs="Tajawal"/>
          <w:b/>
          <w:color w:val="1D6B47"/>
          <w:sz w:val="19"/>
          <w:szCs w:val="19"/>
          <w:rtl w:val="1"/>
        </w:rPr>
        <w:t xml:space="preserve">١٤   </w:t>
      </w:r>
      <w:r>
        <w:rPr>
          <w:rFonts w:ascii="Tajawal" w:hAnsi="Tajawal" w:cs="Tajawal"/>
          <w:b w:val="0"/>
          <w:color w:val="333A36"/>
          <w:sz w:val="19"/>
          <w:szCs w:val="19"/>
          <w:rtl w:val="1"/>
        </w:rPr>
        <w:t>وضع مقدّم الخدمة ولوحة تحكّمه</w:t>
      </w:r>
    </w:p>
    <w:p>
      <w:pPr>
        <w:bidi w:val="1"/>
        <w:spacing w:after="30"/>
        <w:jc w:val="right"/>
      </w:pPr>
      <w:r>
        <w:rPr>
          <w:rFonts w:ascii="Tajawal" w:hAnsi="Tajawal" w:cs="Tajawal"/>
          <w:b/>
          <w:color w:val="1D6B47"/>
          <w:sz w:val="19"/>
          <w:szCs w:val="19"/>
          <w:rtl w:val="1"/>
        </w:rPr>
        <w:t xml:space="preserve">١٥   </w:t>
      </w:r>
      <w:r>
        <w:rPr>
          <w:rFonts w:ascii="Tajawal" w:hAnsi="Tajawal" w:cs="Tajawal"/>
          <w:b w:val="0"/>
          <w:color w:val="333A36"/>
          <w:sz w:val="19"/>
          <w:szCs w:val="19"/>
          <w:rtl w:val="1"/>
        </w:rPr>
        <w:t>لوحة الإدارة ونظام الصلاحيات</w:t>
      </w:r>
    </w:p>
    <w:p>
      <w:pPr>
        <w:bidi w:val="1"/>
        <w:spacing w:after="30"/>
        <w:jc w:val="right"/>
      </w:pPr>
      <w:r>
        <w:rPr>
          <w:rFonts w:ascii="Tajawal" w:hAnsi="Tajawal" w:cs="Tajawal"/>
          <w:b/>
          <w:color w:val="1D6B47"/>
          <w:sz w:val="19"/>
          <w:szCs w:val="19"/>
          <w:rtl w:val="1"/>
        </w:rPr>
        <w:t xml:space="preserve">١٦   </w:t>
      </w:r>
      <w:r>
        <w:rPr>
          <w:rFonts w:ascii="Tajawal" w:hAnsi="Tajawal" w:cs="Tajawal"/>
          <w:b w:val="0"/>
          <w:color w:val="333A36"/>
          <w:sz w:val="19"/>
          <w:szCs w:val="19"/>
          <w:rtl w:val="1"/>
        </w:rPr>
        <w:t>محرّك التقارير والتصدير</w:t>
      </w:r>
    </w:p>
    <w:p>
      <w:pPr>
        <w:bidi w:val="1"/>
        <w:spacing w:after="30"/>
        <w:jc w:val="right"/>
      </w:pPr>
      <w:r>
        <w:rPr>
          <w:rFonts w:ascii="Tajawal" w:hAnsi="Tajawal" w:cs="Tajawal"/>
          <w:b/>
          <w:color w:val="1D6B47"/>
          <w:sz w:val="19"/>
          <w:szCs w:val="19"/>
          <w:rtl w:val="1"/>
        </w:rPr>
        <w:t xml:space="preserve">١٧   </w:t>
      </w:r>
      <w:r>
        <w:rPr>
          <w:rFonts w:ascii="Tajawal" w:hAnsi="Tajawal" w:cs="Tajawal"/>
          <w:b w:val="0"/>
          <w:color w:val="333A36"/>
          <w:sz w:val="19"/>
          <w:szCs w:val="19"/>
          <w:rtl w:val="1"/>
        </w:rPr>
        <w:t>صفحة الويب التعريفية</w:t>
      </w:r>
    </w:p>
    <w:p>
      <w:pPr>
        <w:bidi w:val="1"/>
        <w:spacing w:after="30"/>
        <w:jc w:val="right"/>
      </w:pPr>
      <w:r>
        <w:rPr>
          <w:rFonts w:ascii="Tajawal" w:hAnsi="Tajawal" w:cs="Tajawal"/>
          <w:b/>
          <w:color w:val="1D6B47"/>
          <w:sz w:val="19"/>
          <w:szCs w:val="19"/>
          <w:rtl w:val="1"/>
        </w:rPr>
        <w:t xml:space="preserve">١٨   </w:t>
      </w:r>
      <w:r>
        <w:rPr>
          <w:rFonts w:ascii="Tajawal" w:hAnsi="Tajawal" w:cs="Tajawal"/>
          <w:b w:val="0"/>
          <w:color w:val="333A36"/>
          <w:sz w:val="19"/>
          <w:szCs w:val="19"/>
          <w:rtl w:val="1"/>
        </w:rPr>
        <w:t>التكاملات الخارجية</w:t>
      </w:r>
    </w:p>
    <w:p>
      <w:pPr>
        <w:bidi w:val="1"/>
        <w:spacing w:after="30"/>
        <w:jc w:val="right"/>
      </w:pPr>
      <w:r>
        <w:rPr>
          <w:rFonts w:ascii="Tajawal" w:hAnsi="Tajawal" w:cs="Tajawal"/>
          <w:b/>
          <w:color w:val="1D6B47"/>
          <w:sz w:val="19"/>
          <w:szCs w:val="19"/>
          <w:rtl w:val="1"/>
        </w:rPr>
        <w:t xml:space="preserve">١٩   </w:t>
      </w:r>
      <w:r>
        <w:rPr>
          <w:rFonts w:ascii="Tajawal" w:hAnsi="Tajawal" w:cs="Tajawal"/>
          <w:b w:val="0"/>
          <w:color w:val="333A36"/>
          <w:sz w:val="19"/>
          <w:szCs w:val="19"/>
          <w:rtl w:val="1"/>
        </w:rPr>
        <w:t>الأمان وحماية البيانات</w:t>
      </w:r>
    </w:p>
    <w:p>
      <w:pPr>
        <w:bidi w:val="1"/>
        <w:spacing w:after="30"/>
        <w:jc w:val="right"/>
      </w:pPr>
      <w:r>
        <w:rPr>
          <w:rFonts w:ascii="Tajawal" w:hAnsi="Tajawal" w:cs="Tajawal"/>
          <w:b/>
          <w:color w:val="1D6B47"/>
          <w:sz w:val="19"/>
          <w:szCs w:val="19"/>
          <w:rtl w:val="1"/>
        </w:rPr>
        <w:t xml:space="preserve">٢٠   </w:t>
      </w:r>
      <w:r>
        <w:rPr>
          <w:rFonts w:ascii="Tajawal" w:hAnsi="Tajawal" w:cs="Tajawal"/>
          <w:b w:val="0"/>
          <w:color w:val="333A36"/>
          <w:sz w:val="19"/>
          <w:szCs w:val="19"/>
          <w:rtl w:val="1"/>
        </w:rPr>
        <w:t>الأداء وقابلية التوسّع</w:t>
      </w:r>
    </w:p>
    <w:p>
      <w:pPr>
        <w:bidi w:val="1"/>
        <w:spacing w:after="30"/>
        <w:jc w:val="right"/>
      </w:pPr>
      <w:r>
        <w:rPr>
          <w:rFonts w:ascii="Tajawal" w:hAnsi="Tajawal" w:cs="Tajawal"/>
          <w:b/>
          <w:color w:val="1D6B47"/>
          <w:sz w:val="19"/>
          <w:szCs w:val="19"/>
          <w:rtl w:val="1"/>
        </w:rPr>
        <w:t xml:space="preserve">٢١   </w:t>
      </w:r>
      <w:r>
        <w:rPr>
          <w:rFonts w:ascii="Tajawal" w:hAnsi="Tajawal" w:cs="Tajawal"/>
          <w:b w:val="0"/>
          <w:color w:val="333A36"/>
          <w:sz w:val="19"/>
          <w:szCs w:val="19"/>
          <w:rtl w:val="1"/>
        </w:rPr>
        <w:t>الموثوقية والنسخ الاحتياطي والمراقبة</w:t>
      </w:r>
    </w:p>
    <w:p>
      <w:pPr>
        <w:bidi w:val="1"/>
        <w:spacing w:after="30"/>
        <w:jc w:val="right"/>
      </w:pPr>
      <w:r>
        <w:rPr>
          <w:rFonts w:ascii="Tajawal" w:hAnsi="Tajawal" w:cs="Tajawal"/>
          <w:b/>
          <w:color w:val="1D6B47"/>
          <w:sz w:val="19"/>
          <w:szCs w:val="19"/>
          <w:rtl w:val="1"/>
        </w:rPr>
        <w:t xml:space="preserve">٢٢   </w:t>
      </w:r>
      <w:r>
        <w:rPr>
          <w:rFonts w:ascii="Tajawal" w:hAnsi="Tajawal" w:cs="Tajawal"/>
          <w:b w:val="0"/>
          <w:color w:val="333A36"/>
          <w:sz w:val="19"/>
          <w:szCs w:val="19"/>
          <w:rtl w:val="1"/>
        </w:rPr>
        <w:t>الاختبارات وضمان الجودة</w:t>
      </w:r>
    </w:p>
    <w:p>
      <w:pPr>
        <w:bidi w:val="1"/>
        <w:spacing w:after="30"/>
        <w:jc w:val="right"/>
      </w:pPr>
      <w:r>
        <w:rPr>
          <w:rFonts w:ascii="Tajawal" w:hAnsi="Tajawal" w:cs="Tajawal"/>
          <w:b/>
          <w:color w:val="1D6B47"/>
          <w:sz w:val="19"/>
          <w:szCs w:val="19"/>
          <w:rtl w:val="1"/>
        </w:rPr>
        <w:t xml:space="preserve">٢٣   </w:t>
      </w:r>
      <w:r>
        <w:rPr>
          <w:rFonts w:ascii="Tajawal" w:hAnsi="Tajawal" w:cs="Tajawal"/>
          <w:b w:val="0"/>
          <w:color w:val="333A36"/>
          <w:sz w:val="19"/>
          <w:szCs w:val="19"/>
          <w:rtl w:val="1"/>
        </w:rPr>
        <w:t>البنية التحتية والنشر والتشغيل</w:t>
      </w:r>
    </w:p>
    <w:p>
      <w:pPr>
        <w:bidi w:val="1"/>
        <w:spacing w:after="30"/>
        <w:jc w:val="right"/>
      </w:pPr>
      <w:r>
        <w:rPr>
          <w:rFonts w:ascii="Tajawal" w:hAnsi="Tajawal" w:cs="Tajawal"/>
          <w:b/>
          <w:color w:val="1D6B47"/>
          <w:sz w:val="19"/>
          <w:szCs w:val="19"/>
          <w:rtl w:val="1"/>
        </w:rPr>
        <w:t xml:space="preserve">٢٤   </w:t>
      </w:r>
      <w:r>
        <w:rPr>
          <w:rFonts w:ascii="Tajawal" w:hAnsi="Tajawal" w:cs="Tajawal"/>
          <w:b w:val="0"/>
          <w:color w:val="333A36"/>
          <w:sz w:val="19"/>
          <w:szCs w:val="19"/>
          <w:rtl w:val="1"/>
        </w:rPr>
        <w:t>جاهزية التوسّع المستقبلي</w:t>
      </w:r>
    </w:p>
    <w:p>
      <w:pPr>
        <w:bidi w:val="1"/>
        <w:spacing w:after="30"/>
        <w:jc w:val="right"/>
      </w:pPr>
      <w:r>
        <w:rPr>
          <w:rFonts w:ascii="Tajawal" w:hAnsi="Tajawal" w:cs="Tajawal"/>
          <w:b/>
          <w:color w:val="1D6B47"/>
          <w:sz w:val="19"/>
          <w:szCs w:val="19"/>
          <w:rtl w:val="1"/>
        </w:rPr>
        <w:t xml:space="preserve">٢٥   </w:t>
      </w:r>
      <w:r>
        <w:rPr>
          <w:rFonts w:ascii="Tajawal" w:hAnsi="Tajawal" w:cs="Tajawal"/>
          <w:b w:val="0"/>
          <w:color w:val="333A36"/>
          <w:sz w:val="19"/>
          <w:szCs w:val="19"/>
          <w:rtl w:val="1"/>
        </w:rPr>
        <w:t>المخرجات الفنية عند التسليم</w:t>
      </w:r>
    </w:p>
    <w:tbl>
      <w:tblPr>
        <w:tblStyle w:val="TableGrid"/>
        <w:bidiVisual w:val="1"/>
        <w:tblW w:type="auto" w:w="0"/>
        <w:jc w:val="right"/>
        <w:tblLook w:firstColumn="1" w:firstRow="1" w:lastColumn="0" w:lastRow="0" w:noHBand="0" w:noVBand="1" w:val="04A0"/>
      </w:tblPr>
      <w:tblGrid>
        <w:gridCol w:w="10080"/>
      </w:tblGrid>
      <w:tr>
        <w:tc>
          <w:tcPr>
            <w:tcW w:type="dxa" w:w="10080"/>
            <w:shd w:val="clear" w:color="auto" w:fill="EEF3F0"/>
          </w:tcPr>
          <w:p>
            <w:pPr>
              <w:bidi w:val="1"/>
              <w:spacing w:after="40" w:line="336" w:lineRule="auto"/>
              <w:jc w:val="right"/>
            </w:pPr>
            <w:r/>
            <w:r>
              <w:rPr>
                <w:rFonts w:ascii="Tajawal" w:hAnsi="Tajawal" w:cs="Tajawal"/>
                <w:b/>
                <w:color w:val="14512F"/>
                <w:sz w:val="19"/>
                <w:szCs w:val="19"/>
                <w:rtl w:val="1"/>
              </w:rPr>
              <w:t>كيف يُقرأ هذا المستند</w:t>
            </w:r>
          </w:p>
          <w:p>
            <w:pPr>
              <w:bidi w:val="1"/>
              <w:spacing w:after="40" w:line="336" w:lineRule="auto"/>
              <w:jc w:val="right"/>
            </w:pPr>
            <w:r>
              <w:rPr>
                <w:rFonts w:ascii="Tajawal" w:hAnsi="Tajawal" w:cs="Tajawal"/>
                <w:b w:val="0"/>
                <w:color w:val="333A36"/>
                <w:sz w:val="18"/>
                <w:szCs w:val="18"/>
                <w:rtl w:val="1"/>
              </w:rPr>
              <w:t xml:space="preserve">هذا المستند يُجيب عن سؤال واحد: </w:t>
            </w:r>
            <w:r>
              <w:rPr>
                <w:rFonts w:ascii="Tajawal" w:hAnsi="Tajawal" w:cs="Tajawal"/>
                <w:b/>
                <w:color w:val="333A36"/>
                <w:sz w:val="18"/>
                <w:szCs w:val="18"/>
                <w:rtl w:val="1"/>
              </w:rPr>
              <w:t xml:space="preserve">ماذا سنبني، وبأي تقنية، وبأي حدود </w:t>
            </w:r>
            <w:r>
              <w:rPr>
                <w:rFonts w:ascii="Tajawal" w:hAnsi="Tajawal" w:cs="Tajawal"/>
                <w:b w:val="0"/>
                <w:color w:val="333A36"/>
                <w:sz w:val="18"/>
                <w:szCs w:val="18"/>
                <w:rtl w:val="1"/>
              </w:rPr>
              <w:t xml:space="preserve">. الأسعار وخطة الدفعات والمدد وآلية العمل والتسليم والضمان في المستند الثاني </w:t>
            </w:r>
            <w:r>
              <w:rPr>
                <w:rFonts w:ascii="Tajawal" w:hAnsi="Tajawal" w:cs="Tajawal"/>
                <w:b w:val="0"/>
                <w:color w:val="333A36"/>
                <w:sz w:val="18"/>
                <w:szCs w:val="18"/>
                <w:rtl w:val="1"/>
              </w:rPr>
              <w:t xml:space="preserve">RAX-FIN-AWNAK-001 </w:t>
            </w:r>
            <w:r>
              <w:rPr>
                <w:rFonts w:ascii="Tajawal" w:hAnsi="Tajawal" w:cs="Tajawal"/>
                <w:b w:val="0"/>
                <w:color w:val="333A36"/>
                <w:sz w:val="18"/>
                <w:szCs w:val="18"/>
                <w:rtl w:val="1"/>
              </w:rPr>
              <w:t xml:space="preserve">. المستندان متكاملان ولا يُقرأ أحدهما بمعزل عن الآخر. </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١ الملخّص التنفيذي</w:t>
      </w:r>
    </w:p>
    <w:p>
      <w:pPr>
        <w:bidi w:val="1"/>
        <w:spacing w:after="140" w:line="348" w:lineRule="auto"/>
        <w:jc w:val="right"/>
      </w:pPr>
      <w:r>
        <w:rPr>
          <w:rFonts w:ascii="Tajawal" w:hAnsi="Tajawal" w:cs="Tajawal"/>
          <w:b w:val="0"/>
          <w:color w:val="5F6B65"/>
          <w:sz w:val="22"/>
          <w:szCs w:val="22"/>
          <w:rtl w:val="1"/>
        </w:rPr>
        <w:t xml:space="preserve">المطلوب ليس دليلاً لأسماء الحرفيين ولا منصّة إعلانات مبوّبة، بل منصّة تشغيل وإدارة خدمات متكاملة — تبدأ من حاجة العميل وتنتهي بالتقرير المالي. هذا الفهم هو ما شكّل كل قرار هندسي في هذا المستند. </w:t>
      </w:r>
    </w:p>
    <w:p>
      <w:pPr>
        <w:bidi w:val="1"/>
        <w:spacing w:after="100" w:line="348" w:lineRule="auto"/>
        <w:jc w:val="right"/>
      </w:pPr>
      <w:r>
        <w:rPr>
          <w:rFonts w:ascii="Tajawal" w:hAnsi="Tajawal" w:cs="Tajawal"/>
          <w:b w:val="0"/>
          <w:color w:val="333A36"/>
          <w:sz w:val="21"/>
          <w:szCs w:val="21"/>
          <w:rtl w:val="1"/>
        </w:rPr>
        <w:t xml:space="preserve">قرأنا وثيقة التوصيف بأقسامها الاثنين والثلاثين كاملةً، وبنينا عليها نموذجاً تفاعلياً لمسار العميل اعتُمد بصرياً قبل كتابة هذا العرض. خلاصة قراءتنا أن نجاح </w:t>
      </w:r>
      <w:r>
        <w:rPr>
          <w:rFonts w:ascii="Tajawal" w:hAnsi="Tajawal" w:cs="Tajawal"/>
          <w:b w:val="0"/>
          <w:color w:val="1D6B47"/>
          <w:sz w:val="21"/>
          <w:szCs w:val="21"/>
          <w:rtl w:val="1"/>
        </w:rPr>
        <w:t xml:space="preserve">عَوْنَك </w:t>
      </w:r>
      <w:r>
        <w:rPr>
          <w:rFonts w:ascii="Tajawal" w:hAnsi="Tajawal" w:cs="Tajawal"/>
          <w:b w:val="0"/>
          <w:color w:val="333A36"/>
          <w:sz w:val="21"/>
          <w:szCs w:val="21"/>
          <w:rtl w:val="1"/>
        </w:rPr>
        <w:t xml:space="preserve">يتوقّف على أربعة محاور هندسية، لا على عدد الشاشات: </w:t>
      </w:r>
    </w:p>
    <w:tbl>
      <w:tblPr>
        <w:tblStyle w:val="TableGrid"/>
        <w:bidiVisual w:val="1"/>
        <w:tblW w:type="auto" w:w="0"/>
        <w:jc w:val="right"/>
        <w:tblLook w:firstColumn="1" w:firstRow="1" w:lastColumn="0" w:lastRow="0" w:noHBand="0" w:noVBand="1" w:val="04A0"/>
      </w:tblPr>
      <w:tblGrid>
        <w:gridCol w:w="5040"/>
        <w:gridCol w:w="5040"/>
      </w:tblGrid>
      <w:tr>
        <w:tc>
          <w:tcPr>
            <w:tcW w:type="dxa" w:w="5040"/>
            <w:shd w:val="clear" w:color="auto" w:fill="F5F8F6"/>
          </w:tcPr>
          <w:p>
            <w:pPr>
              <w:bidi w:val="1"/>
              <w:spacing w:after="20"/>
              <w:jc w:val="right"/>
            </w:pPr>
            <w:r/>
            <w:r>
              <w:rPr>
                <w:rFonts w:ascii="Tajawal" w:hAnsi="Tajawal" w:cs="Tajawal"/>
                <w:b/>
                <w:color w:val="14512F"/>
                <w:sz w:val="18"/>
                <w:szCs w:val="18"/>
                <w:rtl w:val="1"/>
              </w:rPr>
              <w:t>مرونة التصنيفات دون برمجة</w:t>
            </w:r>
          </w:p>
          <w:p>
            <w:pPr>
              <w:bidi w:val="1"/>
              <w:spacing w:after="20"/>
              <w:jc w:val="right"/>
            </w:pPr>
            <w:r>
              <w:rPr>
                <w:rFonts w:ascii="Tajawal" w:hAnsi="Tajawal" w:cs="Tajawal"/>
                <w:b w:val="0"/>
                <w:color w:val="333A36"/>
                <w:sz w:val="17"/>
                <w:szCs w:val="17"/>
                <w:rtl w:val="1"/>
              </w:rPr>
              <w:t>نصّت الوثيقة صراحةً على أن تضيف الإدارة تصنيفات وخدمات جديدة دون تعديل برمجي. لذلك بُني الكتالوج على مخطّط حقول ديناميكي يُعرَّف من لوحة الإدارة، لا على جداول ثابتة لكل مهنة.</w:t>
            </w:r>
          </w:p>
        </w:tc>
        <w:tc>
          <w:tcPr>
            <w:tcW w:type="dxa" w:w="5040"/>
            <w:shd w:val="clear" w:color="auto" w:fill="F5F8F6"/>
          </w:tcPr>
          <w:p>
            <w:pPr>
              <w:bidi w:val="1"/>
              <w:spacing w:after="20"/>
              <w:jc w:val="right"/>
            </w:pPr>
            <w:r/>
            <w:r>
              <w:rPr>
                <w:rFonts w:ascii="Tajawal" w:hAnsi="Tajawal" w:cs="Tajawal"/>
                <w:b/>
                <w:color w:val="14512F"/>
                <w:sz w:val="18"/>
                <w:szCs w:val="18"/>
                <w:rtl w:val="1"/>
              </w:rPr>
              <w:t>محرّك توزيع لا قائمة بحث</w:t>
            </w:r>
          </w:p>
          <w:p>
            <w:pPr>
              <w:bidi w:val="1"/>
              <w:spacing w:after="20"/>
              <w:jc w:val="right"/>
            </w:pPr>
            <w:r>
              <w:rPr>
                <w:rFonts w:ascii="Tajawal" w:hAnsi="Tajawal" w:cs="Tajawal"/>
                <w:b w:val="0"/>
                <w:color w:val="333A36"/>
                <w:sz w:val="17"/>
                <w:szCs w:val="17"/>
                <w:rtl w:val="1"/>
              </w:rPr>
              <w:t>الطلب لا يُنشَر فحسب، بل يُوجَّه وفق عشرة معايير — الاختصاص والموقع ونصف القطر والتقييم وسرعة الاستجابة والتوفّر. هذا محرّك تسجيل نقاط أوزانه قابلة للضبط من اللوحة.</w:t>
            </w:r>
          </w:p>
        </w:tc>
      </w:tr>
      <w:tr>
        <w:tc>
          <w:tcPr>
            <w:tcW w:type="dxa" w:w="5040"/>
            <w:shd w:val="clear" w:color="auto" w:fill="F5F8F6"/>
          </w:tcPr>
          <w:p>
            <w:pPr>
              <w:bidi w:val="1"/>
              <w:spacing w:after="20"/>
              <w:jc w:val="right"/>
            </w:pPr>
            <w:r/>
            <w:r>
              <w:rPr>
                <w:rFonts w:ascii="Tajawal" w:hAnsi="Tajawal" w:cs="Tajawal"/>
                <w:b/>
                <w:color w:val="14512F"/>
                <w:sz w:val="18"/>
                <w:szCs w:val="18"/>
                <w:rtl w:val="1"/>
              </w:rPr>
              <w:t>دفتر أستاذ لا حقل «سعر»</w:t>
            </w:r>
          </w:p>
          <w:p>
            <w:pPr>
              <w:bidi w:val="1"/>
              <w:spacing w:after="20"/>
              <w:jc w:val="right"/>
            </w:pPr>
            <w:r>
              <w:rPr>
                <w:rFonts w:ascii="Tajawal" w:hAnsi="Tajawal" w:cs="Tajawal"/>
                <w:b w:val="0"/>
                <w:color w:val="333A36"/>
                <w:sz w:val="17"/>
                <w:szCs w:val="17"/>
                <w:rtl w:val="1"/>
              </w:rPr>
              <w:t>حجز المبالغ، والعمولة متعدّدة القواعد، والتكاليف الإضافية، والاسترداد الجزئي، والمستحقّات — كلها تتطلّب دفتر قيود مزدوج، وإلّا استحال تدقيق الأرصدة لاحقاً.</w:t>
            </w:r>
          </w:p>
        </w:tc>
        <w:tc>
          <w:tcPr>
            <w:tcW w:type="dxa" w:w="5040"/>
            <w:shd w:val="clear" w:color="auto" w:fill="F5F8F6"/>
          </w:tcPr>
          <w:p>
            <w:pPr>
              <w:bidi w:val="1"/>
              <w:spacing w:after="20"/>
              <w:jc w:val="right"/>
            </w:pPr>
            <w:r/>
            <w:r>
              <w:rPr>
                <w:rFonts w:ascii="Tajawal" w:hAnsi="Tajawal" w:cs="Tajawal"/>
                <w:b/>
                <w:color w:val="14512F"/>
                <w:sz w:val="18"/>
                <w:szCs w:val="18"/>
                <w:rtl w:val="1"/>
              </w:rPr>
              <w:t>العربية أولاً لا ترجمةً</w:t>
            </w:r>
          </w:p>
          <w:p>
            <w:pPr>
              <w:bidi w:val="1"/>
              <w:spacing w:after="20"/>
              <w:jc w:val="right"/>
            </w:pPr>
            <w:r>
              <w:rPr>
                <w:rFonts w:ascii="Tajawal" w:hAnsi="Tajawal" w:cs="Tajawal"/>
                <w:b w:val="0"/>
                <w:color w:val="333A36"/>
                <w:sz w:val="17"/>
                <w:szCs w:val="17"/>
                <w:rtl w:val="1"/>
              </w:rPr>
              <w:t>اتجاه RTL أصلي، وبحث يتسامح مع اختلاف كتابة الهمزة والتاء المربوطة، وصيغة مخاطبة تتبع جنس الحساب، وخطوط تراعي كبار السن — عولجت في طبقة البحث والواجهة معاً.</w:t>
            </w:r>
          </w:p>
        </w:tc>
      </w:tr>
    </w:tbl>
    <w:p>
      <w:pPr>
        <w:spacing w:after="60"/>
      </w:pPr>
    </w:p>
    <w:p>
      <w:pPr>
        <w:keepNext/>
        <w:bidi w:val="1"/>
        <w:spacing w:before="220" w:after="40"/>
        <w:jc w:val="right"/>
      </w:pPr>
      <w:r>
        <w:rPr>
          <w:rFonts w:ascii="Tajawal" w:hAnsi="Tajawal" w:cs="Tajawal"/>
          <w:b/>
          <w:color w:val="1D6B47"/>
          <w:sz w:val="24"/>
          <w:szCs w:val="24"/>
          <w:rtl w:val="1"/>
        </w:rPr>
        <w:t>١-١ حجم المرحلة الأولى في أرقام</w:t>
      </w:r>
    </w:p>
    <w:tbl>
      <w:tblPr>
        <w:tblStyle w:val="TableGrid"/>
        <w:bidiVisual w:val="1"/>
        <w:tblW w:type="auto" w:w="0"/>
        <w:jc w:val="right"/>
        <w:tblLook w:firstColumn="1" w:firstRow="1" w:lastColumn="0" w:lastRow="0" w:noHBand="0" w:noVBand="1" w:val="04A0"/>
      </w:tblPr>
      <w:tblGrid>
        <w:gridCol w:w="2520"/>
        <w:gridCol w:w="2520"/>
        <w:gridCol w:w="2520"/>
        <w:gridCol w:w="2520"/>
      </w:tblGrid>
      <w:tr>
        <w:tc>
          <w:tcPr>
            <w:tcW w:type="dxa" w:w="2520"/>
            <w:shd w:val="clear" w:color="auto" w:fill="EEF3F0"/>
          </w:tcPr>
          <w:p>
            <w:pPr>
              <w:bidi w:val="1"/>
              <w:spacing w:before="20" w:after="20"/>
              <w:jc w:val="center"/>
            </w:pPr>
            <w:r/>
            <w:r>
              <w:rPr>
                <w:rFonts w:ascii="Tajawal" w:hAnsi="Tajawal" w:cs="Tajawal"/>
                <w:b/>
                <w:color w:val="14512F"/>
                <w:sz w:val="30"/>
                <w:szCs w:val="30"/>
                <w:rtl w:val="1"/>
              </w:rPr>
              <w:t>١</w:t>
            </w:r>
          </w:p>
        </w:tc>
        <w:tc>
          <w:tcPr>
            <w:tcW w:type="dxa" w:w="2520"/>
            <w:shd w:val="clear" w:color="auto" w:fill="EEF3F0"/>
          </w:tcPr>
          <w:p>
            <w:pPr>
              <w:bidi w:val="1"/>
              <w:spacing w:before="20" w:after="20"/>
              <w:jc w:val="center"/>
            </w:pPr>
            <w:r/>
            <w:r>
              <w:rPr>
                <w:rFonts w:ascii="Tajawal" w:hAnsi="Tajawal" w:cs="Tajawal"/>
                <w:b/>
                <w:color w:val="14512F"/>
                <w:sz w:val="30"/>
                <w:szCs w:val="30"/>
                <w:rtl w:val="1"/>
              </w:rPr>
              <w:t>٢</w:t>
            </w:r>
          </w:p>
        </w:tc>
        <w:tc>
          <w:tcPr>
            <w:tcW w:type="dxa" w:w="2520"/>
            <w:shd w:val="clear" w:color="auto" w:fill="EEF3F0"/>
          </w:tcPr>
          <w:p>
            <w:pPr>
              <w:bidi w:val="1"/>
              <w:spacing w:before="20" w:after="20"/>
              <w:jc w:val="center"/>
            </w:pPr>
            <w:r/>
            <w:r>
              <w:rPr>
                <w:rFonts w:ascii="Tajawal" w:hAnsi="Tajawal" w:cs="Tajawal"/>
                <w:b/>
                <w:color w:val="14512F"/>
                <w:sz w:val="30"/>
                <w:szCs w:val="30"/>
                <w:rtl w:val="1"/>
              </w:rPr>
              <w:t>٦</w:t>
            </w:r>
          </w:p>
        </w:tc>
        <w:tc>
          <w:tcPr>
            <w:tcW w:type="dxa" w:w="2520"/>
            <w:shd w:val="clear" w:color="auto" w:fill="EEF3F0"/>
          </w:tcPr>
          <w:p>
            <w:pPr>
              <w:bidi w:val="1"/>
              <w:spacing w:before="20" w:after="20"/>
              <w:jc w:val="center"/>
            </w:pPr>
            <w:r/>
            <w:r>
              <w:rPr>
                <w:rFonts w:ascii="Tajawal" w:hAnsi="Tajawal" w:cs="Tajawal"/>
                <w:b/>
                <w:color w:val="14512F"/>
                <w:sz w:val="30"/>
                <w:szCs w:val="30"/>
                <w:rtl w:val="1"/>
              </w:rPr>
              <w:t>١٥</w:t>
            </w:r>
          </w:p>
        </w:tc>
      </w:tr>
      <w:tr>
        <w:tc>
          <w:tcPr>
            <w:tcW w:type="dxa" w:w="2520"/>
            <w:shd w:val="clear" w:color="auto" w:fill="EEF3F0"/>
          </w:tcPr>
          <w:p>
            <w:pPr>
              <w:bidi w:val="1"/>
              <w:spacing w:before="20" w:after="20"/>
              <w:jc w:val="center"/>
            </w:pPr>
            <w:r/>
            <w:r>
              <w:rPr>
                <w:rFonts w:ascii="Tajawal" w:hAnsi="Tajawal" w:cs="Tajawal"/>
                <w:b w:val="0"/>
                <w:color w:val="5F6B65"/>
                <w:sz w:val="16"/>
                <w:szCs w:val="16"/>
                <w:rtl w:val="1"/>
              </w:rPr>
              <w:t>تطبيق موحّدعميل + مقدّم خدمة</w:t>
            </w:r>
          </w:p>
        </w:tc>
        <w:tc>
          <w:tcPr>
            <w:tcW w:type="dxa" w:w="2520"/>
            <w:shd w:val="clear" w:color="auto" w:fill="EEF3F0"/>
          </w:tcPr>
          <w:p>
            <w:pPr>
              <w:bidi w:val="1"/>
              <w:spacing w:before="20" w:after="20"/>
              <w:jc w:val="center"/>
            </w:pPr>
            <w:r/>
            <w:r>
              <w:rPr>
                <w:rFonts w:ascii="Tajawal" w:hAnsi="Tajawal" w:cs="Tajawal"/>
                <w:b w:val="0"/>
                <w:color w:val="5F6B65"/>
                <w:sz w:val="16"/>
                <w:szCs w:val="16"/>
                <w:rtl w:val="1"/>
              </w:rPr>
              <w:t>منصّتانAndroid و iOS</w:t>
            </w:r>
          </w:p>
        </w:tc>
        <w:tc>
          <w:tcPr>
            <w:tcW w:type="dxa" w:w="2520"/>
            <w:shd w:val="clear" w:color="auto" w:fill="EEF3F0"/>
          </w:tcPr>
          <w:p>
            <w:pPr>
              <w:bidi w:val="1"/>
              <w:spacing w:before="20" w:after="20"/>
              <w:jc w:val="center"/>
            </w:pPr>
            <w:r/>
            <w:r>
              <w:rPr>
                <w:rFonts w:ascii="Tajawal" w:hAnsi="Tajawal" w:cs="Tajawal"/>
                <w:b w:val="0"/>
                <w:color w:val="5F6B65"/>
                <w:sz w:val="16"/>
                <w:szCs w:val="16"/>
                <w:rtl w:val="1"/>
              </w:rPr>
              <w:t>نماذج تسعيرمدعومة بالكامل</w:t>
            </w:r>
          </w:p>
        </w:tc>
        <w:tc>
          <w:tcPr>
            <w:tcW w:type="dxa" w:w="2520"/>
            <w:shd w:val="clear" w:color="auto" w:fill="EEF3F0"/>
          </w:tcPr>
          <w:p>
            <w:pPr>
              <w:bidi w:val="1"/>
              <w:spacing w:before="20" w:after="20"/>
              <w:jc w:val="center"/>
            </w:pPr>
            <w:r/>
            <w:r>
              <w:rPr>
                <w:rFonts w:ascii="Tajawal" w:hAnsi="Tajawal" w:cs="Tajawal"/>
                <w:b w:val="0"/>
                <w:color w:val="5F6B65"/>
                <w:sz w:val="16"/>
                <w:szCs w:val="16"/>
                <w:rtl w:val="1"/>
              </w:rPr>
              <w:t>حالة للطلبفي آلة الحالات</w:t>
            </w:r>
          </w:p>
        </w:tc>
      </w:tr>
    </w:tbl>
    <w:p>
      <w:pPr>
        <w:spacing w:after="60"/>
      </w:pPr>
    </w:p>
    <w:tbl>
      <w:tblPr>
        <w:tblStyle w:val="TableGrid"/>
        <w:bidiVisual w:val="1"/>
        <w:tblW w:type="auto" w:w="0"/>
        <w:jc w:val="right"/>
        <w:tblLook w:firstColumn="1" w:firstRow="1" w:lastColumn="0" w:lastRow="0" w:noHBand="0" w:noVBand="1" w:val="04A0"/>
      </w:tblPr>
      <w:tblGrid>
        <w:gridCol w:w="2520"/>
        <w:gridCol w:w="2520"/>
        <w:gridCol w:w="2520"/>
        <w:gridCol w:w="2520"/>
      </w:tblGrid>
      <w:tr>
        <w:tc>
          <w:tcPr>
            <w:tcW w:type="dxa" w:w="2520"/>
            <w:shd w:val="clear" w:color="auto" w:fill="EEF3F0"/>
          </w:tcPr>
          <w:p>
            <w:pPr>
              <w:bidi w:val="1"/>
              <w:spacing w:before="20" w:after="20"/>
              <w:jc w:val="center"/>
            </w:pPr>
            <w:r/>
            <w:r>
              <w:rPr>
                <w:rFonts w:ascii="Tajawal" w:hAnsi="Tajawal" w:cs="Tajawal"/>
                <w:b/>
                <w:color w:val="14512F"/>
                <w:sz w:val="30"/>
                <w:szCs w:val="30"/>
                <w:rtl w:val="1"/>
              </w:rPr>
              <w:t>١١</w:t>
            </w:r>
          </w:p>
        </w:tc>
        <w:tc>
          <w:tcPr>
            <w:tcW w:type="dxa" w:w="2520"/>
            <w:shd w:val="clear" w:color="auto" w:fill="EEF3F0"/>
          </w:tcPr>
          <w:p>
            <w:pPr>
              <w:bidi w:val="1"/>
              <w:spacing w:before="20" w:after="20"/>
              <w:jc w:val="center"/>
            </w:pPr>
            <w:r/>
            <w:r>
              <w:rPr>
                <w:rFonts w:ascii="Tajawal" w:hAnsi="Tajawal" w:cs="Tajawal"/>
                <w:b/>
                <w:color w:val="14512F"/>
                <w:sz w:val="30"/>
                <w:szCs w:val="30"/>
                <w:rtl w:val="1"/>
              </w:rPr>
              <w:t>١٥</w:t>
            </w:r>
          </w:p>
        </w:tc>
        <w:tc>
          <w:tcPr>
            <w:tcW w:type="dxa" w:w="2520"/>
            <w:shd w:val="clear" w:color="auto" w:fill="EEF3F0"/>
          </w:tcPr>
          <w:p>
            <w:pPr>
              <w:bidi w:val="1"/>
              <w:spacing w:before="20" w:after="20"/>
              <w:jc w:val="center"/>
            </w:pPr>
            <w:r/>
            <w:r>
              <w:rPr>
                <w:rFonts w:ascii="Tajawal" w:hAnsi="Tajawal" w:cs="Tajawal"/>
                <w:b/>
                <w:color w:val="14512F"/>
                <w:sz w:val="30"/>
                <w:szCs w:val="30"/>
                <w:rtl w:val="1"/>
              </w:rPr>
              <w:t>٩</w:t>
            </w:r>
          </w:p>
        </w:tc>
        <w:tc>
          <w:tcPr>
            <w:tcW w:type="dxa" w:w="2520"/>
            <w:shd w:val="clear" w:color="auto" w:fill="EEF3F0"/>
          </w:tcPr>
          <w:p>
            <w:pPr>
              <w:bidi w:val="1"/>
              <w:spacing w:before="20" w:after="20"/>
              <w:jc w:val="center"/>
            </w:pPr>
            <w:r/>
            <w:r>
              <w:rPr>
                <w:rFonts w:ascii="Tajawal" w:hAnsi="Tajawal" w:cs="Tajawal"/>
                <w:b/>
                <w:color w:val="14512F"/>
                <w:sz w:val="30"/>
                <w:szCs w:val="30"/>
                <w:rtl w:val="1"/>
              </w:rPr>
              <w:t>٢٤</w:t>
            </w:r>
          </w:p>
        </w:tc>
      </w:tr>
      <w:tr>
        <w:tc>
          <w:tcPr>
            <w:tcW w:type="dxa" w:w="2520"/>
            <w:shd w:val="clear" w:color="auto" w:fill="EEF3F0"/>
          </w:tcPr>
          <w:p>
            <w:pPr>
              <w:bidi w:val="1"/>
              <w:spacing w:before="20" w:after="20"/>
              <w:jc w:val="center"/>
            </w:pPr>
            <w:r/>
            <w:r>
              <w:rPr>
                <w:rFonts w:ascii="Tajawal" w:hAnsi="Tajawal" w:cs="Tajawal"/>
                <w:b w:val="0"/>
                <w:color w:val="5F6B65"/>
                <w:sz w:val="16"/>
                <w:szCs w:val="16"/>
                <w:rtl w:val="1"/>
              </w:rPr>
              <w:t>تصنيفاً رئيسياًمع خدماتها الفرعية</w:t>
            </w:r>
          </w:p>
        </w:tc>
        <w:tc>
          <w:tcPr>
            <w:tcW w:type="dxa" w:w="2520"/>
            <w:shd w:val="clear" w:color="auto" w:fill="EEF3F0"/>
          </w:tcPr>
          <w:p>
            <w:pPr>
              <w:bidi w:val="1"/>
              <w:spacing w:before="20" w:after="20"/>
              <w:jc w:val="center"/>
            </w:pPr>
            <w:r/>
            <w:r>
              <w:rPr>
                <w:rFonts w:ascii="Tajawal" w:hAnsi="Tajawal" w:cs="Tajawal"/>
                <w:b w:val="0"/>
                <w:color w:val="5F6B65"/>
                <w:sz w:val="16"/>
                <w:szCs w:val="16"/>
                <w:rtl w:val="1"/>
              </w:rPr>
              <w:t>شاشة معتمدةفي مسار العميل</w:t>
            </w:r>
          </w:p>
        </w:tc>
        <w:tc>
          <w:tcPr>
            <w:tcW w:type="dxa" w:w="2520"/>
            <w:shd w:val="clear" w:color="auto" w:fill="EEF3F0"/>
          </w:tcPr>
          <w:p>
            <w:pPr>
              <w:bidi w:val="1"/>
              <w:spacing w:before="20" w:after="20"/>
              <w:jc w:val="center"/>
            </w:pPr>
            <w:r/>
            <w:r>
              <w:rPr>
                <w:rFonts w:ascii="Tajawal" w:hAnsi="Tajawal" w:cs="Tajawal"/>
                <w:b w:val="0"/>
                <w:color w:val="5F6B65"/>
                <w:sz w:val="16"/>
                <w:szCs w:val="16"/>
                <w:rtl w:val="1"/>
              </w:rPr>
              <w:t>تكاملات خارجيةمسعّرة منفصلة</w:t>
            </w:r>
          </w:p>
        </w:tc>
        <w:tc>
          <w:tcPr>
            <w:tcW w:type="dxa" w:w="2520"/>
            <w:shd w:val="clear" w:color="auto" w:fill="EEF3F0"/>
          </w:tcPr>
          <w:p>
            <w:pPr>
              <w:bidi w:val="1"/>
              <w:spacing w:before="20" w:after="20"/>
              <w:jc w:val="center"/>
            </w:pPr>
            <w:r/>
            <w:r>
              <w:rPr>
                <w:rFonts w:ascii="Tajawal" w:hAnsi="Tajawal" w:cs="Tajawal"/>
                <w:b w:val="0"/>
                <w:color w:val="5F6B65"/>
                <w:sz w:val="16"/>
                <w:szCs w:val="16"/>
                <w:rtl w:val="1"/>
              </w:rPr>
              <w:t>تقريراً إدارياًقابلاً للتصدير</w:t>
            </w:r>
          </w:p>
        </w:tc>
      </w:tr>
    </w:tbl>
    <w:p>
      <w:pPr>
        <w:spacing w:after="60"/>
      </w:pPr>
    </w:p>
    <w:p>
      <w:pPr>
        <w:keepNext/>
        <w:bidi w:val="1"/>
        <w:spacing w:before="220" w:after="40"/>
        <w:jc w:val="right"/>
      </w:pPr>
      <w:r>
        <w:rPr>
          <w:rFonts w:ascii="Tajawal" w:hAnsi="Tajawal" w:cs="Tajawal"/>
          <w:b/>
          <w:color w:val="1D6B47"/>
          <w:sz w:val="24"/>
          <w:szCs w:val="24"/>
          <w:rtl w:val="1"/>
        </w:rPr>
        <w:t>١-٢ قرار معماري جوهري</w:t>
      </w:r>
    </w:p>
    <w:tbl>
      <w:tblPr>
        <w:tblStyle w:val="TableGrid"/>
        <w:bidiVisual w:val="1"/>
        <w:tblW w:type="auto" w:w="0"/>
        <w:jc w:val="right"/>
        <w:tblLook w:firstColumn="1" w:firstRow="1" w:lastColumn="0" w:lastRow="0" w:noHBand="0" w:noVBand="1" w:val="04A0"/>
      </w:tblPr>
      <w:tblGrid>
        <w:gridCol w:w="10080"/>
      </w:tblGrid>
      <w:tr>
        <w:tc>
          <w:tcPr>
            <w:tcW w:type="dxa" w:w="10080"/>
            <w:shd w:val="clear" w:color="auto" w:fill="EEF3F0"/>
          </w:tcPr>
          <w:p>
            <w:pPr>
              <w:bidi w:val="1"/>
              <w:spacing w:after="40" w:line="336" w:lineRule="auto"/>
              <w:jc w:val="right"/>
            </w:pPr>
            <w:r/>
            <w:r>
              <w:rPr>
                <w:rFonts w:ascii="Tajawal" w:hAnsi="Tajawal" w:cs="Tajawal"/>
                <w:b/>
                <w:color w:val="14512F"/>
                <w:sz w:val="19"/>
                <w:szCs w:val="19"/>
                <w:rtl w:val="1"/>
              </w:rPr>
              <w:t>حساب واحد بوَضعين، لا حسابان</w:t>
            </w:r>
          </w:p>
          <w:p>
            <w:pPr>
              <w:bidi w:val="1"/>
              <w:spacing w:after="40" w:line="336" w:lineRule="auto"/>
              <w:jc w:val="right"/>
            </w:pPr>
            <w:r>
              <w:rPr>
                <w:rFonts w:ascii="Tajawal" w:hAnsi="Tajawal" w:cs="Tajawal"/>
                <w:b w:val="0"/>
                <w:color w:val="333A36"/>
                <w:sz w:val="18"/>
                <w:szCs w:val="18"/>
                <w:rtl w:val="1"/>
              </w:rPr>
              <w:t xml:space="preserve">الهوية </w:t>
            </w:r>
            <w:r>
              <w:rPr>
                <w:rFonts w:ascii="Tajawal" w:hAnsi="Tajawal" w:cs="Tajawal"/>
                <w:b w:val="0"/>
                <w:color w:val="1D6B47"/>
                <w:sz w:val="18"/>
                <w:szCs w:val="18"/>
                <w:rtl w:val="1"/>
              </w:rPr>
              <w:t xml:space="preserve">(User) </w:t>
            </w:r>
            <w:r>
              <w:rPr>
                <w:rFonts w:ascii="Tajawal" w:hAnsi="Tajawal" w:cs="Tajawal"/>
                <w:b w:val="0"/>
                <w:color w:val="333A36"/>
                <w:sz w:val="18"/>
                <w:szCs w:val="18"/>
                <w:rtl w:val="1"/>
              </w:rPr>
              <w:t xml:space="preserve">منفصلة عن الملف المهني </w:t>
            </w:r>
            <w:r>
              <w:rPr>
                <w:rFonts w:ascii="Tajawal" w:hAnsi="Tajawal" w:cs="Tajawal"/>
                <w:b w:val="0"/>
                <w:color w:val="1D6B47"/>
                <w:sz w:val="18"/>
                <w:szCs w:val="18"/>
                <w:rtl w:val="1"/>
              </w:rPr>
              <w:t xml:space="preserve">(Provider Profile) </w:t>
            </w:r>
            <w:r>
              <w:rPr>
                <w:rFonts w:ascii="Tajawal" w:hAnsi="Tajawal" w:cs="Tajawal"/>
                <w:b w:val="0"/>
                <w:color w:val="333A36"/>
                <w:sz w:val="18"/>
                <w:szCs w:val="18"/>
                <w:rtl w:val="1"/>
              </w:rPr>
              <w:t xml:space="preserve">في نموذج البيانات. المستخدم يبقى واحداً ويُضاف إليه ملف مهني بعد التوثيق. يمنع هذا ازدواج البيانات، ويجعل التبديل بين وضع العميل ووضع مقدّم الخدمة فورياً دون تسجيل خروج، ويُبقي سجلّ الطلبات والتقييمات مرتبطاً بهوية واحدة. </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٢ فهم المشروع وحدود النطاق</w:t>
      </w:r>
    </w:p>
    <w:p>
      <w:pPr>
        <w:keepNext/>
        <w:bidi w:val="1"/>
        <w:spacing w:before="220" w:after="40"/>
        <w:jc w:val="right"/>
      </w:pPr>
      <w:r>
        <w:rPr>
          <w:rFonts w:ascii="Tajawal" w:hAnsi="Tajawal" w:cs="Tajawal"/>
          <w:b/>
          <w:color w:val="1D6B47"/>
          <w:sz w:val="24"/>
          <w:szCs w:val="24"/>
          <w:rtl w:val="1"/>
        </w:rPr>
        <w:t>٢-١ مكوّنات المشروع الأربعة</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المكوّن</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الوصف</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المرحلة</w:t>
            </w:r>
          </w:p>
        </w:tc>
      </w:tr>
      <w:tr>
        <w:tc>
          <w:tcPr>
            <w:tcW w:type="dxa" w:w="3360"/>
          </w:tcPr>
          <w:p>
            <w:pPr>
              <w:bidi w:val="1"/>
              <w:spacing w:before="20" w:after="20"/>
              <w:jc w:val="right"/>
            </w:pPr>
            <w:r/>
            <w:r>
              <w:rPr>
                <w:rFonts w:ascii="Tajawal" w:hAnsi="Tajawal" w:cs="Tajawal"/>
                <w:b w:val="0"/>
                <w:color w:val="333A36"/>
                <w:sz w:val="17"/>
                <w:szCs w:val="17"/>
                <w:rtl w:val="1"/>
              </w:rPr>
              <w:t>تطبيق الهاتف</w:t>
            </w:r>
          </w:p>
        </w:tc>
        <w:tc>
          <w:tcPr>
            <w:tcW w:type="dxa" w:w="3360"/>
          </w:tcPr>
          <w:p>
            <w:pPr>
              <w:bidi w:val="1"/>
              <w:spacing w:before="20" w:after="20"/>
              <w:jc w:val="right"/>
            </w:pPr>
            <w:r/>
            <w:r>
              <w:rPr>
                <w:rFonts w:ascii="Tajawal" w:hAnsi="Tajawal" w:cs="Tajawal"/>
                <w:b w:val="0"/>
                <w:color w:val="333A36"/>
                <w:sz w:val="17"/>
                <w:szCs w:val="17"/>
                <w:rtl w:val="1"/>
              </w:rPr>
              <w:t>تطبيق واحد على Android و iOS، يتيح التبديل بين وضع العميل ووضع مقدّم الخدمة دون حسابين منفصلين.</w:t>
            </w:r>
          </w:p>
        </w:tc>
        <w:tc>
          <w:tcPr>
            <w:tcW w:type="dxa" w:w="3360"/>
          </w:tcPr>
          <w:p>
            <w:pPr>
              <w:bidi w:val="1"/>
              <w:spacing w:before="20" w:after="20"/>
              <w:jc w:val="center"/>
            </w:pPr>
            <w:r/>
            <w:r>
              <w:rPr>
                <w:rFonts w:ascii="Tajawal" w:hAnsi="Tajawal" w:cs="Tajawal"/>
                <w:b w:val="0"/>
                <w:color w:val="333A36"/>
                <w:sz w:val="17"/>
                <w:szCs w:val="17"/>
                <w:rtl w:val="1"/>
              </w:rPr>
              <w:t>المرحلة ١</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لوحة تحكّم الإدارة</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تطبيق ويب لإدارة العملاء ومقدّمي الخدمات والطلبات والعروض والدفعات والعمولات والشكاوى والتقييمات والإشعارات والمحتوى والتقارير ومناطق التغطية والتصنيفات والموظفين وصلاحياتهم.</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المرحلة ١</w:t>
            </w:r>
          </w:p>
        </w:tc>
      </w:tr>
      <w:tr>
        <w:tc>
          <w:tcPr>
            <w:tcW w:type="dxa" w:w="3360"/>
          </w:tcPr>
          <w:p>
            <w:pPr>
              <w:bidi w:val="1"/>
              <w:spacing w:before="20" w:after="20"/>
              <w:jc w:val="right"/>
            </w:pPr>
            <w:r/>
            <w:r>
              <w:rPr>
                <w:rFonts w:ascii="Tajawal" w:hAnsi="Tajawal" w:cs="Tajawal"/>
                <w:b w:val="0"/>
                <w:color w:val="333A36"/>
                <w:sz w:val="17"/>
                <w:szCs w:val="17"/>
                <w:rtl w:val="1"/>
              </w:rPr>
              <w:t>الصفحة التعريفية</w:t>
            </w:r>
          </w:p>
        </w:tc>
        <w:tc>
          <w:tcPr>
            <w:tcW w:type="dxa" w:w="3360"/>
          </w:tcPr>
          <w:p>
            <w:pPr>
              <w:bidi w:val="1"/>
              <w:spacing w:before="20" w:after="20"/>
              <w:jc w:val="right"/>
            </w:pPr>
            <w:r/>
            <w:r>
              <w:rPr>
                <w:rFonts w:ascii="Tajawal" w:hAnsi="Tajawal" w:cs="Tajawal"/>
                <w:b w:val="0"/>
                <w:color w:val="333A36"/>
                <w:sz w:val="17"/>
                <w:szCs w:val="17"/>
                <w:rtl w:val="1"/>
              </w:rPr>
              <w:t>صفحة هبوط تتضمّن التعريف بالتطبيق وأنواع الخدمات وطريقة الطلب والتسجيل كمقدّم خدمة وروابط التحميل والشروط والخصوصية والأسئلة الشائعة ونموذج التواصل.</w:t>
            </w:r>
          </w:p>
        </w:tc>
        <w:tc>
          <w:tcPr>
            <w:tcW w:type="dxa" w:w="3360"/>
          </w:tcPr>
          <w:p>
            <w:pPr>
              <w:bidi w:val="1"/>
              <w:spacing w:before="20" w:after="20"/>
              <w:jc w:val="center"/>
            </w:pPr>
            <w:r/>
            <w:r>
              <w:rPr>
                <w:rFonts w:ascii="Tajawal" w:hAnsi="Tajawal" w:cs="Tajawal"/>
                <w:b w:val="0"/>
                <w:color w:val="333A36"/>
                <w:sz w:val="17"/>
                <w:szCs w:val="17"/>
                <w:rtl w:val="1"/>
              </w:rPr>
              <w:t>المرحلة ١</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النظام الخلفي</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الخادم الخلفي، قاعدة البيانات، واجهات API، إدارة الوسائط، المواقع الجغرافية، الإشعارات، الدفع، الصلاحيات، السجلات والتقارير.</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المرحلة ١</w:t>
            </w:r>
          </w:p>
        </w:tc>
      </w:tr>
    </w:tbl>
    <w:p>
      <w:pPr>
        <w:spacing w:after="60"/>
      </w:pPr>
    </w:p>
    <w:p>
      <w:pPr>
        <w:keepNext/>
        <w:bidi w:val="1"/>
        <w:spacing w:before="220" w:after="40"/>
        <w:jc w:val="right"/>
      </w:pPr>
      <w:r>
        <w:rPr>
          <w:rFonts w:ascii="Tajawal" w:hAnsi="Tajawal" w:cs="Tajawal"/>
          <w:b/>
          <w:color w:val="1D6B47"/>
          <w:sz w:val="24"/>
          <w:szCs w:val="24"/>
          <w:rtl w:val="1"/>
        </w:rPr>
        <w:t>٢-٢ الوظائف المشمولة في المرحلة الأولى</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تسجيل العميل برقم الهاتف مع رمز OTP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تسجيل مقدّم الخدمة وتوثيقه بالوثائق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إدارة تصنيفات الخدمات ديناميكياً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تحديد الموقع والعناوين المتعدّدة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إنشاء طلب خدمة بالصور والفيديو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توزيع الطلب على المطابقين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تقديم عروض الأسعار ومقارنتها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اختيار مقدّم الخدمة وإغلاق العروض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المحادثة داخل التطبيق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متابعة حالات الطلب الخمس عشرة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الدفع النقدي عند الإنجاز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ربط بوّابة دفع إلكتروني واحدة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احتساب العمولة القابلة للإدارة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التقييمات الثنائية الاتجاه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الشكاوى والنزاعات ومعالجتها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الإشعارات الفورية Push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الملف الشخصي للعميل ولمقدّم الخدمة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معرض الأعمال السابقة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لوحة الإدارة الكاملة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التقارير الأساسية والتصدير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اللغة العربية مع دعم RTL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صفحة الويب التعريفية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النشر على Google Play و App Store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تدريب الإدارة وتسليم الشيفرة </w:t>
      </w:r>
    </w:p>
    <w:p>
      <w:pPr>
        <w:keepNext/>
        <w:bidi w:val="1"/>
        <w:spacing w:before="220" w:after="40"/>
        <w:jc w:val="right"/>
      </w:pPr>
      <w:r>
        <w:rPr>
          <w:rFonts w:ascii="Tajawal" w:hAnsi="Tajawal" w:cs="Tajawal"/>
          <w:b/>
          <w:color w:val="1D6B47"/>
          <w:sz w:val="24"/>
          <w:szCs w:val="24"/>
          <w:rtl w:val="1"/>
        </w:rPr>
        <w:t>٢-٣ وظائف مؤجّلة إلى المرحلة الثانية</w:t>
      </w:r>
    </w:p>
    <w:p>
      <w:pPr>
        <w:bidi w:val="1"/>
        <w:spacing w:after="100" w:line="348" w:lineRule="auto"/>
        <w:jc w:val="right"/>
      </w:pPr>
      <w:r>
        <w:rPr>
          <w:rFonts w:ascii="Tajawal" w:hAnsi="Tajawal" w:cs="Tajawal"/>
          <w:b w:val="0"/>
          <w:color w:val="333A36"/>
          <w:sz w:val="18"/>
          <w:szCs w:val="18"/>
          <w:rtl w:val="1"/>
        </w:rPr>
        <w:t xml:space="preserve">غير مشمولة في نطاق المرحلة الأولى، ومسعّرة بنداً بنداً في المستند المالي. رُوعيت معمارياً بحيث لا تتطلّب إعادة بناء عند تفعيلها: </w:t>
      </w:r>
    </w:p>
    <w:p>
      <w:pPr>
        <w:bidi w:val="1"/>
        <w:spacing w:after="120" w:line="360" w:lineRule="auto"/>
        <w:jc w:val="right"/>
      </w:pPr>
      <w:r>
        <w:rPr>
          <w:rFonts w:ascii="Tajawal" w:hAnsi="Tajawal" w:cs="Tajawal"/>
          <w:b w:val="0"/>
          <w:color w:val="1D6B47"/>
          <w:sz w:val="18"/>
          <w:szCs w:val="18"/>
          <w:rtl w:val="1"/>
        </w:rPr>
        <w:t>حسابات الشركات وفرق العمل  ·  المحفظة الإلكترونية  ·  حجز وتحرير المبالغ  ·  تتبّع مقدّم الخدمة على الخريطة  ·  الاشتراكات المدفوعة  ·  نظام الإحالة  ·  برنامج الولاء  ·  أكواد الخصم  ·  خدمات الطوارئ  ·  الطلبات المتكرّرة  ·  اشتراكات الصيانة الدورية  ·  اللغة الإنجليزية  ·  التقارير المتقدّمة  ·  جدولة الفنيين  ·  تقييم متعدّد المعايير  ·  ضمان الخدمات  ·  المكالمات داخل التطبيق  ·  تعدّد المدن والدول</w:t>
      </w:r>
    </w:p>
    <w:tbl>
      <w:tblPr>
        <w:tblStyle w:val="TableGrid"/>
        <w:bidiVisual w:val="1"/>
        <w:tblW w:type="auto" w:w="0"/>
        <w:jc w:val="right"/>
        <w:tblLook w:firstColumn="1" w:firstRow="1" w:lastColumn="0" w:lastRow="0" w:noHBand="0" w:noVBand="1" w:val="04A0"/>
      </w:tblPr>
      <w:tblGrid>
        <w:gridCol w:w="10080"/>
      </w:tblGrid>
      <w:tr>
        <w:tc>
          <w:tcPr>
            <w:tcW w:type="dxa" w:w="10080"/>
            <w:shd w:val="clear" w:color="auto" w:fill="FDF6E6"/>
          </w:tcPr>
          <w:p>
            <w:pPr>
              <w:bidi w:val="1"/>
              <w:spacing w:after="40" w:line="336" w:lineRule="auto"/>
              <w:jc w:val="right"/>
            </w:pPr>
            <w:r/>
            <w:r>
              <w:rPr>
                <w:rFonts w:ascii="Tajawal" w:hAnsi="Tajawal" w:cs="Tajawal"/>
                <w:b/>
                <w:color w:val="14512F"/>
                <w:sz w:val="19"/>
                <w:szCs w:val="19"/>
                <w:rtl w:val="1"/>
              </w:rPr>
              <w:t>حدود النطاق</w:t>
            </w:r>
          </w:p>
          <w:p>
            <w:pPr>
              <w:bidi w:val="1"/>
              <w:spacing w:after="40" w:line="336" w:lineRule="auto"/>
              <w:jc w:val="right"/>
            </w:pPr>
            <w:r>
              <w:rPr>
                <w:rFonts w:ascii="Tajawal" w:hAnsi="Tajawal" w:cs="Tajawal"/>
                <w:b w:val="0"/>
                <w:color w:val="333A36"/>
                <w:sz w:val="18"/>
                <w:szCs w:val="18"/>
                <w:rtl w:val="1"/>
              </w:rPr>
              <w:t xml:space="preserve">البنود الواردة في القسم السابع والعشرين من وثيقة التوصيف — شراء الأجهزة والخوادم، ورسوم بوّابات الدفع والرسائل والخرائط ومتاجر التطبيقات، والتصوير التسويقي، وإدخال بيانات مقدّمي الخدمات، ومركز الاتصال، والحملات الإعلانية، والهوية البصرية، والترجمة الاحترافية، والتأمين — </w:t>
            </w:r>
            <w:r>
              <w:rPr>
                <w:rFonts w:ascii="Tajawal" w:hAnsi="Tajawal" w:cs="Tajawal"/>
                <w:b/>
                <w:color w:val="333A36"/>
                <w:sz w:val="18"/>
                <w:szCs w:val="18"/>
                <w:rtl w:val="1"/>
              </w:rPr>
              <w:t xml:space="preserve">ليست مشمولة </w:t>
            </w:r>
            <w:r>
              <w:rPr>
                <w:rFonts w:ascii="Tajawal" w:hAnsi="Tajawal" w:cs="Tajawal"/>
                <w:b w:val="0"/>
                <w:color w:val="333A36"/>
                <w:sz w:val="18"/>
                <w:szCs w:val="18"/>
                <w:rtl w:val="1"/>
              </w:rPr>
              <w:t xml:space="preserve">ما لم تَرِد صراحةً في العرض المالي. التفصيل الكامل في القسم ٨ من المستند المالي. </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٣ المعمارية العامة للنظام</w:t>
      </w:r>
    </w:p>
    <w:p>
      <w:pPr>
        <w:bidi w:val="1"/>
        <w:spacing w:after="140" w:line="348" w:lineRule="auto"/>
        <w:jc w:val="right"/>
      </w:pPr>
      <w:r>
        <w:rPr>
          <w:rFonts w:ascii="Tajawal" w:hAnsi="Tajawal" w:cs="Tajawal"/>
          <w:b w:val="0"/>
          <w:color w:val="5F6B65"/>
          <w:sz w:val="22"/>
          <w:szCs w:val="22"/>
          <w:rtl w:val="1"/>
        </w:rPr>
        <w:t xml:space="preserve">معمارية طبقية بوحدات نمطية داخل نواة واحدة قابلة للتفكيك، لا خدمات مصغّرة موزّعة. القرار مقصود ومشروح في ٣-٢. </w:t>
      </w:r>
    </w:p>
    <w:p>
      <w:pPr>
        <w:bidi w:val="1"/>
        <w:spacing w:before="80" w:after="20"/>
        <w:jc w:val="right"/>
      </w:pPr>
      <w:r>
        <w:rPr>
          <w:rFonts w:ascii="Tajawal" w:hAnsi="Tajawal" w:cs="Tajawal"/>
          <w:b/>
          <w:color w:val="14512F"/>
          <w:sz w:val="19"/>
          <w:szCs w:val="19"/>
          <w:rtl w:val="1"/>
        </w:rPr>
        <w:t>طبقة العرض</w:t>
      </w:r>
    </w:p>
    <w:p>
      <w:pPr>
        <w:bidi w:val="1"/>
        <w:spacing w:after="80"/>
        <w:ind w:right="230"/>
        <w:jc w:val="right"/>
      </w:pPr>
      <w:r>
        <w:rPr>
          <w:rFonts w:ascii="Tajawal" w:hAnsi="Tajawal" w:cs="Tajawal"/>
          <w:b w:val="0"/>
          <w:color w:val="333A36"/>
          <w:sz w:val="18"/>
          <w:szCs w:val="18"/>
          <w:rtl w:val="1"/>
        </w:rPr>
        <w:t>تطبيق العميل · وضع مقدّم الخدمة · لوحة الإدارة · الصفحة التعريفية</w:t>
      </w:r>
    </w:p>
    <w:p>
      <w:pPr>
        <w:bidi w:val="1"/>
        <w:spacing w:before="80" w:after="20"/>
        <w:jc w:val="right"/>
      </w:pPr>
      <w:r>
        <w:rPr>
          <w:rFonts w:ascii="Tajawal" w:hAnsi="Tajawal" w:cs="Tajawal"/>
          <w:b/>
          <w:color w:val="14512F"/>
          <w:sz w:val="19"/>
          <w:szCs w:val="19"/>
          <w:rtl w:val="1"/>
        </w:rPr>
        <w:t>طبقة الوصول</w:t>
      </w:r>
    </w:p>
    <w:p>
      <w:pPr>
        <w:bidi w:val="1"/>
        <w:spacing w:after="80"/>
        <w:ind w:right="230"/>
        <w:jc w:val="right"/>
      </w:pPr>
      <w:r>
        <w:rPr>
          <w:rFonts w:ascii="Tajawal" w:hAnsi="Tajawal" w:cs="Tajawal"/>
          <w:b w:val="0"/>
          <w:color w:val="333A36"/>
          <w:sz w:val="18"/>
          <w:szCs w:val="18"/>
          <w:rtl w:val="1"/>
        </w:rPr>
        <w:t>CDN · WAF · API Gateway · Rate Limiter · Auth · JWT</w:t>
      </w:r>
    </w:p>
    <w:p>
      <w:pPr>
        <w:bidi w:val="1"/>
        <w:spacing w:before="80" w:after="20"/>
        <w:jc w:val="right"/>
      </w:pPr>
      <w:r>
        <w:rPr>
          <w:rFonts w:ascii="Tajawal" w:hAnsi="Tajawal" w:cs="Tajawal"/>
          <w:b/>
          <w:color w:val="14512F"/>
          <w:sz w:val="19"/>
          <w:szCs w:val="19"/>
          <w:rtl w:val="1"/>
        </w:rPr>
        <w:t>طبقة الأعمال — الوحدات الوظيفية</w:t>
      </w:r>
    </w:p>
    <w:p>
      <w:pPr>
        <w:bidi w:val="1"/>
        <w:spacing w:after="80"/>
        <w:ind w:right="230"/>
        <w:jc w:val="right"/>
      </w:pPr>
      <w:r>
        <w:rPr>
          <w:rFonts w:ascii="Tajawal" w:hAnsi="Tajawal" w:cs="Tajawal"/>
          <w:b w:val="0"/>
          <w:color w:val="333A36"/>
          <w:sz w:val="18"/>
          <w:szCs w:val="18"/>
          <w:rtl w:val="1"/>
        </w:rPr>
        <w:t>الهويات · التوثيق · الكتالوج · الطلبات · التوزيع · العروض · المالية · المحادثات · التقييمات · الشكاوى · الإشعارات · التقارير</w:t>
      </w:r>
    </w:p>
    <w:p>
      <w:pPr>
        <w:bidi w:val="1"/>
        <w:spacing w:before="80" w:after="20"/>
        <w:jc w:val="right"/>
      </w:pPr>
      <w:r>
        <w:rPr>
          <w:rFonts w:ascii="Tajawal" w:hAnsi="Tajawal" w:cs="Tajawal"/>
          <w:b/>
          <w:color w:val="14512F"/>
          <w:sz w:val="19"/>
          <w:szCs w:val="19"/>
          <w:rtl w:val="1"/>
        </w:rPr>
        <w:t>المعالجة غير المتزامنة</w:t>
      </w:r>
    </w:p>
    <w:p>
      <w:pPr>
        <w:bidi w:val="1"/>
        <w:spacing w:after="80"/>
        <w:ind w:right="230"/>
        <w:jc w:val="right"/>
      </w:pPr>
      <w:r>
        <w:rPr>
          <w:rFonts w:ascii="Tajawal" w:hAnsi="Tajawal" w:cs="Tajawal"/>
          <w:b w:val="0"/>
          <w:color w:val="333A36"/>
          <w:sz w:val="18"/>
          <w:szCs w:val="18"/>
          <w:rtl w:val="1"/>
        </w:rPr>
        <w:t>طابور المهام · معالجة الوسائط · إرسال الإشعارات · المهام المجدولة · بناء التقارير</w:t>
      </w:r>
    </w:p>
    <w:p>
      <w:pPr>
        <w:bidi w:val="1"/>
        <w:spacing w:before="80" w:after="20"/>
        <w:jc w:val="right"/>
      </w:pPr>
      <w:r>
        <w:rPr>
          <w:rFonts w:ascii="Tajawal" w:hAnsi="Tajawal" w:cs="Tajawal"/>
          <w:b/>
          <w:color w:val="14512F"/>
          <w:sz w:val="19"/>
          <w:szCs w:val="19"/>
          <w:rtl w:val="1"/>
        </w:rPr>
        <w:t>البيانات والتخزين</w:t>
      </w:r>
    </w:p>
    <w:p>
      <w:pPr>
        <w:bidi w:val="1"/>
        <w:spacing w:after="80"/>
        <w:ind w:right="230"/>
        <w:jc w:val="right"/>
      </w:pPr>
      <w:r>
        <w:rPr>
          <w:rFonts w:ascii="Tajawal" w:hAnsi="Tajawal" w:cs="Tajawal"/>
          <w:b w:val="0"/>
          <w:color w:val="333A36"/>
          <w:sz w:val="18"/>
          <w:szCs w:val="18"/>
          <w:rtl w:val="1"/>
        </w:rPr>
        <w:t>PostgreSQL · PostGIS · Redis · Object Storage</w:t>
      </w:r>
    </w:p>
    <w:p>
      <w:pPr>
        <w:bidi w:val="1"/>
        <w:spacing w:before="80" w:after="20"/>
        <w:jc w:val="right"/>
      </w:pPr>
      <w:r>
        <w:rPr>
          <w:rFonts w:ascii="Tajawal" w:hAnsi="Tajawal" w:cs="Tajawal"/>
          <w:b/>
          <w:color w:val="14512F"/>
          <w:sz w:val="19"/>
          <w:szCs w:val="19"/>
          <w:rtl w:val="1"/>
        </w:rPr>
        <w:t>التكاملات الخارجية</w:t>
      </w:r>
    </w:p>
    <w:p>
      <w:pPr>
        <w:bidi w:val="1"/>
        <w:spacing w:after="80"/>
        <w:ind w:right="230"/>
        <w:jc w:val="right"/>
      </w:pPr>
      <w:r>
        <w:rPr>
          <w:rFonts w:ascii="Tajawal" w:hAnsi="Tajawal" w:cs="Tajawal"/>
          <w:b w:val="0"/>
          <w:color w:val="333A36"/>
          <w:sz w:val="18"/>
          <w:szCs w:val="18"/>
          <w:rtl w:val="1"/>
        </w:rPr>
        <w:t>OTP · SMS · بوّابة الدفع · الخرائط · Firebase FCM</w:t>
      </w:r>
    </w:p>
    <w:p>
      <w:pPr>
        <w:keepNext/>
        <w:bidi w:val="1"/>
        <w:spacing w:before="220" w:after="40"/>
        <w:jc w:val="right"/>
      </w:pPr>
      <w:r>
        <w:rPr>
          <w:rFonts w:ascii="Tajawal" w:hAnsi="Tajawal" w:cs="Tajawal"/>
          <w:b/>
          <w:color w:val="1D6B47"/>
          <w:sz w:val="24"/>
          <w:szCs w:val="24"/>
          <w:rtl w:val="1"/>
        </w:rPr>
        <w:t>٣-١ مبدأ المُهايئات القابلة للاستبدال</w:t>
      </w:r>
    </w:p>
    <w:p>
      <w:pPr>
        <w:bidi w:val="1"/>
        <w:spacing w:after="100" w:line="348" w:lineRule="auto"/>
        <w:jc w:val="right"/>
      </w:pPr>
      <w:r>
        <w:rPr>
          <w:rFonts w:ascii="Tajawal" w:hAnsi="Tajawal" w:cs="Tajawal"/>
          <w:b w:val="0"/>
          <w:color w:val="333A36"/>
          <w:sz w:val="21"/>
          <w:szCs w:val="21"/>
          <w:rtl w:val="1"/>
        </w:rPr>
        <w:t xml:space="preserve">كل تكامل خارجي يُنفَّذ خلف </w:t>
      </w:r>
      <w:r>
        <w:rPr>
          <w:rFonts w:ascii="Tajawal" w:hAnsi="Tajawal" w:cs="Tajawal"/>
          <w:b/>
          <w:color w:val="333A36"/>
          <w:sz w:val="21"/>
          <w:szCs w:val="21"/>
          <w:rtl w:val="1"/>
        </w:rPr>
        <w:t xml:space="preserve">واجهة داخلية موحّدة </w:t>
      </w:r>
      <w:r>
        <w:rPr>
          <w:rFonts w:ascii="Tajawal" w:hAnsi="Tajawal" w:cs="Tajawal"/>
          <w:b w:val="0"/>
          <w:color w:val="333A36"/>
          <w:sz w:val="21"/>
          <w:szCs w:val="21"/>
          <w:rtl w:val="1"/>
        </w:rPr>
        <w:t xml:space="preserve">. تغيير مزوّد الرسائل أو إضافة بوّابة دفع ثانية يتطلّب كتابة مُهايئ جديد فقط، لا تعديل منطق الأعمال — وهو ما يخدم مطلب «قابلية إضافة بوّابات دفع جديدة» مباشرةً، ويحمي المشروع من الارتهان لمزوّد بعينه. </w:t>
      </w:r>
    </w:p>
    <w:p>
      <w:pPr>
        <w:keepNext/>
        <w:bidi w:val="1"/>
        <w:spacing w:before="220" w:after="40"/>
        <w:jc w:val="right"/>
      </w:pPr>
      <w:r>
        <w:rPr>
          <w:rFonts w:ascii="Tajawal" w:hAnsi="Tajawal" w:cs="Tajawal"/>
          <w:b/>
          <w:color w:val="1D6B47"/>
          <w:sz w:val="24"/>
          <w:szCs w:val="24"/>
          <w:rtl w:val="1"/>
        </w:rPr>
        <w:t>٣-٢ لماذا نواة نمطية وليست خدمات مصغّرة</w:t>
      </w:r>
    </w:p>
    <w:tbl>
      <w:tblPr>
        <w:tblStyle w:val="TableGrid"/>
        <w:bidiVisual w:val="1"/>
        <w:tblW w:type="auto" w:w="0"/>
        <w:jc w:val="right"/>
        <w:tblLook w:firstColumn="1" w:firstRow="1" w:lastColumn="0" w:lastRow="0" w:noHBand="0" w:noVBand="1" w:val="04A0"/>
      </w:tblPr>
      <w:tblGrid>
        <w:gridCol w:w="5040"/>
        <w:gridCol w:w="5040"/>
      </w:tblGrid>
      <w:tr>
        <w:tc>
          <w:tcPr>
            <w:tcW w:type="dxa" w:w="5040"/>
            <w:shd w:val="clear" w:color="auto" w:fill="14512F"/>
          </w:tcPr>
          <w:p>
            <w:pPr>
              <w:bidi w:val="1"/>
              <w:spacing w:before="20" w:after="20"/>
              <w:jc w:val="right"/>
            </w:pPr>
            <w:r/>
            <w:r>
              <w:rPr>
                <w:rFonts w:ascii="Tajawal" w:hAnsi="Tajawal" w:cs="Tajawal"/>
                <w:b/>
                <w:color w:val="FFFFFF"/>
                <w:sz w:val="17"/>
                <w:szCs w:val="17"/>
                <w:rtl w:val="1"/>
              </w:rPr>
              <w:t>المعيار</w:t>
            </w:r>
          </w:p>
        </w:tc>
        <w:tc>
          <w:tcPr>
            <w:tcW w:type="dxa" w:w="5040"/>
            <w:shd w:val="clear" w:color="auto" w:fill="14512F"/>
          </w:tcPr>
          <w:p>
            <w:pPr>
              <w:bidi w:val="1"/>
              <w:spacing w:before="20" w:after="20"/>
              <w:jc w:val="right"/>
            </w:pPr>
            <w:r/>
            <w:r>
              <w:rPr>
                <w:rFonts w:ascii="Tajawal" w:hAnsi="Tajawal" w:cs="Tajawal"/>
                <w:b/>
                <w:color w:val="FFFFFF"/>
                <w:sz w:val="17"/>
                <w:szCs w:val="17"/>
                <w:rtl w:val="1"/>
              </w:rPr>
              <w:t>القرار والمبرّر</w:t>
            </w:r>
          </w:p>
        </w:tc>
      </w:tr>
      <w:tr>
        <w:tc>
          <w:tcPr>
            <w:tcW w:type="dxa" w:w="5040"/>
          </w:tcPr>
          <w:p>
            <w:pPr>
              <w:bidi w:val="1"/>
              <w:spacing w:before="20" w:after="20"/>
              <w:jc w:val="right"/>
            </w:pPr>
            <w:r/>
            <w:r>
              <w:rPr>
                <w:rFonts w:ascii="Tajawal" w:hAnsi="Tajawal" w:cs="Tajawal"/>
                <w:b w:val="0"/>
                <w:color w:val="333A36"/>
                <w:sz w:val="17"/>
                <w:szCs w:val="17"/>
                <w:rtl w:val="1"/>
              </w:rPr>
              <w:t>سلامة المعاملات المالية</w:t>
            </w:r>
          </w:p>
        </w:tc>
        <w:tc>
          <w:tcPr>
            <w:tcW w:type="dxa" w:w="5040"/>
          </w:tcPr>
          <w:p>
            <w:pPr>
              <w:bidi w:val="1"/>
              <w:spacing w:before="20" w:after="20"/>
              <w:jc w:val="right"/>
            </w:pPr>
            <w:r/>
            <w:r>
              <w:rPr>
                <w:rFonts w:ascii="Tajawal" w:hAnsi="Tajawal" w:cs="Tajawal"/>
                <w:b w:val="0"/>
                <w:color w:val="333A36"/>
                <w:sz w:val="17"/>
                <w:szCs w:val="17"/>
                <w:rtl w:val="1"/>
              </w:rPr>
              <w:t>حجز المبلغ وخصم العمولة وتحرير المستحقّ يجب أن تتمّ في معاملة ذرّية واحدة. توزيعها على خدمات مصغّرة يفرض معاملات موزّعة معقّدة وخطرة في نظام مالي.</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حجم الفريق ومدّة التنفيذ</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الخدمات المصغّرة تفرض عبء بنية تحتية يستهلك من ميزانية المرحلة الأولى دون قيمة مضافة قبل بلوغ حجم مستخدمين كبير.</w:t>
            </w:r>
          </w:p>
        </w:tc>
      </w:tr>
      <w:tr>
        <w:tc>
          <w:tcPr>
            <w:tcW w:type="dxa" w:w="5040"/>
          </w:tcPr>
          <w:p>
            <w:pPr>
              <w:bidi w:val="1"/>
              <w:spacing w:before="20" w:after="20"/>
              <w:jc w:val="right"/>
            </w:pPr>
            <w:r/>
            <w:r>
              <w:rPr>
                <w:rFonts w:ascii="Tajawal" w:hAnsi="Tajawal" w:cs="Tajawal"/>
                <w:b w:val="0"/>
                <w:color w:val="333A36"/>
                <w:sz w:val="17"/>
                <w:szCs w:val="17"/>
                <w:rtl w:val="1"/>
              </w:rPr>
              <w:t>قابلية الفصل لاحقاً</w:t>
            </w:r>
          </w:p>
        </w:tc>
        <w:tc>
          <w:tcPr>
            <w:tcW w:type="dxa" w:w="5040"/>
          </w:tcPr>
          <w:p>
            <w:pPr>
              <w:bidi w:val="1"/>
              <w:spacing w:before="20" w:after="20"/>
              <w:jc w:val="right"/>
            </w:pPr>
            <w:r/>
            <w:r>
              <w:rPr>
                <w:rFonts w:ascii="Tajawal" w:hAnsi="Tajawal" w:cs="Tajawal"/>
                <w:b w:val="0"/>
                <w:color w:val="333A36"/>
                <w:sz w:val="17"/>
                <w:szCs w:val="17"/>
                <w:rtl w:val="1"/>
              </w:rPr>
              <w:t>الوحدات مفصولة بحدود وواجهات داخلية واضحة، فيمكن استخراج أي وحدة — المحادثات أو الإشعارات مثلاً — كخدمة مستقلّة عند الحاجة دون إعادة كتابة.</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التوسّع الأفقي</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النواة عديمة الحالة، فتُشغَّل نسخ متعدّدة خلف موازن حمل، والعمّال غير المتزامنين يتوسّعون بمعزل عن واجهات API.</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٤ حزمة التقنيات ومبرّرات الاختيار</w:t>
      </w:r>
    </w:p>
    <w:p>
      <w:pPr>
        <w:keepNext/>
        <w:bidi w:val="1"/>
        <w:spacing w:before="220" w:after="40"/>
        <w:jc w:val="right"/>
      </w:pPr>
      <w:r>
        <w:rPr>
          <w:rFonts w:ascii="Tajawal" w:hAnsi="Tajawal" w:cs="Tajawal"/>
          <w:b/>
          <w:color w:val="1D6B47"/>
          <w:sz w:val="24"/>
          <w:szCs w:val="24"/>
          <w:rtl w:val="1"/>
        </w:rPr>
        <w:t>٤-١ تطبيق الهاتف المحمول</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العنصر</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التقنية</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المبرّر</w:t>
            </w:r>
          </w:p>
        </w:tc>
      </w:tr>
      <w:tr>
        <w:tc>
          <w:tcPr>
            <w:tcW w:type="dxa" w:w="3360"/>
          </w:tcPr>
          <w:p>
            <w:pPr>
              <w:bidi w:val="1"/>
              <w:spacing w:before="20" w:after="20"/>
              <w:jc w:val="right"/>
            </w:pPr>
            <w:r/>
            <w:r>
              <w:rPr>
                <w:rFonts w:ascii="Tajawal" w:hAnsi="Tajawal" w:cs="Tajawal"/>
                <w:b w:val="0"/>
                <w:color w:val="333A36"/>
                <w:sz w:val="17"/>
                <w:szCs w:val="17"/>
                <w:rtl w:val="1"/>
              </w:rPr>
              <w:t>إطار العمل</w:t>
            </w:r>
          </w:p>
        </w:tc>
        <w:tc>
          <w:tcPr>
            <w:tcW w:type="dxa" w:w="3360"/>
          </w:tcPr>
          <w:p>
            <w:pPr>
              <w:bidi w:val="1"/>
              <w:spacing w:before="20" w:after="20"/>
              <w:jc w:val="right"/>
            </w:pPr>
            <w:r/>
            <w:r>
              <w:rPr>
                <w:rFonts w:ascii="Tajawal" w:hAnsi="Tajawal" w:cs="Tajawal"/>
                <w:b w:val="0"/>
                <w:color w:val="333A36"/>
                <w:sz w:val="17"/>
                <w:szCs w:val="17"/>
                <w:rtl w:val="1"/>
              </w:rPr>
              <w:t>Flutter 3.x · Dart</w:t>
            </w:r>
          </w:p>
        </w:tc>
        <w:tc>
          <w:tcPr>
            <w:tcW w:type="dxa" w:w="3360"/>
          </w:tcPr>
          <w:p>
            <w:pPr>
              <w:bidi w:val="1"/>
              <w:spacing w:before="20" w:after="20"/>
              <w:jc w:val="right"/>
            </w:pPr>
            <w:r/>
            <w:r>
              <w:rPr>
                <w:rFonts w:ascii="Tajawal" w:hAnsi="Tajawal" w:cs="Tajawal"/>
                <w:b w:val="0"/>
                <w:color w:val="333A36"/>
                <w:sz w:val="17"/>
                <w:szCs w:val="17"/>
                <w:rtl w:val="1"/>
              </w:rPr>
              <w:t>الوثيقة طلبت تطبيقاً واحداً يعمل على Android و iOS. قاعدة شيفرة واحدة بأداء أصلي، ودعم RTL ناضج ومدمج، وتحكّم كامل بالخطوط وأحجامها — وهو مطلب صريح لمراعاة كبار السن.</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إدارة الحالة</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Riverpod + Freezed</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حالة الطلب تمرّ بخمس عشرة مرحلة وتتغيّر لحظياً؛ يلزم نموذج حالة صارم يمنع الحالات غير الصالحة على مستوى نوع البيانات.</w:t>
            </w:r>
          </w:p>
        </w:tc>
      </w:tr>
      <w:tr>
        <w:tc>
          <w:tcPr>
            <w:tcW w:type="dxa" w:w="3360"/>
          </w:tcPr>
          <w:p>
            <w:pPr>
              <w:bidi w:val="1"/>
              <w:spacing w:before="20" w:after="20"/>
              <w:jc w:val="right"/>
            </w:pPr>
            <w:r/>
            <w:r>
              <w:rPr>
                <w:rFonts w:ascii="Tajawal" w:hAnsi="Tajawal" w:cs="Tajawal"/>
                <w:b w:val="0"/>
                <w:color w:val="333A36"/>
                <w:sz w:val="17"/>
                <w:szCs w:val="17"/>
                <w:rtl w:val="1"/>
              </w:rPr>
              <w:t>التخزين المحلّي</w:t>
            </w:r>
          </w:p>
        </w:tc>
        <w:tc>
          <w:tcPr>
            <w:tcW w:type="dxa" w:w="3360"/>
          </w:tcPr>
          <w:p>
            <w:pPr>
              <w:bidi w:val="1"/>
              <w:spacing w:before="20" w:after="20"/>
              <w:jc w:val="right"/>
            </w:pPr>
            <w:r/>
            <w:r>
              <w:rPr>
                <w:rFonts w:ascii="Tajawal" w:hAnsi="Tajawal" w:cs="Tajawal"/>
                <w:b w:val="0"/>
                <w:color w:val="333A36"/>
                <w:sz w:val="17"/>
                <w:szCs w:val="17"/>
                <w:rtl w:val="1"/>
              </w:rPr>
              <w:t>Drift (SQLite) + Secure Storage</w:t>
            </w:r>
          </w:p>
        </w:tc>
        <w:tc>
          <w:tcPr>
            <w:tcW w:type="dxa" w:w="3360"/>
          </w:tcPr>
          <w:p>
            <w:pPr>
              <w:bidi w:val="1"/>
              <w:spacing w:before="20" w:after="20"/>
              <w:jc w:val="right"/>
            </w:pPr>
            <w:r/>
            <w:r>
              <w:rPr>
                <w:rFonts w:ascii="Tajawal" w:hAnsi="Tajawal" w:cs="Tajawal"/>
                <w:b w:val="0"/>
                <w:color w:val="333A36"/>
                <w:sz w:val="17"/>
                <w:szCs w:val="17"/>
                <w:rtl w:val="1"/>
              </w:rPr>
              <w:t>مطلب «عدم توقّف بقية الوظائف عند ضعف الاتصال»: تُخزَّن الطلبات والمحادثات محلّياً وتُزامَن عند عودة الشبكة. الرموز الحسّاسة في مخزن مشفّر.</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الشبكة</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Dio + Interceptors</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إعادة محاولة تلقائية، وتجديد رموز الدخول، وطابور رفع للوسائط.</w:t>
            </w:r>
          </w:p>
        </w:tc>
      </w:tr>
      <w:tr>
        <w:tc>
          <w:tcPr>
            <w:tcW w:type="dxa" w:w="3360"/>
          </w:tcPr>
          <w:p>
            <w:pPr>
              <w:bidi w:val="1"/>
              <w:spacing w:before="20" w:after="20"/>
              <w:jc w:val="right"/>
            </w:pPr>
            <w:r/>
            <w:r>
              <w:rPr>
                <w:rFonts w:ascii="Tajawal" w:hAnsi="Tajawal" w:cs="Tajawal"/>
                <w:b w:val="0"/>
                <w:color w:val="333A36"/>
                <w:sz w:val="17"/>
                <w:szCs w:val="17"/>
                <w:rtl w:val="1"/>
              </w:rPr>
              <w:t>الخرائط</w:t>
            </w:r>
          </w:p>
        </w:tc>
        <w:tc>
          <w:tcPr>
            <w:tcW w:type="dxa" w:w="3360"/>
          </w:tcPr>
          <w:p>
            <w:pPr>
              <w:bidi w:val="1"/>
              <w:spacing w:before="20" w:after="20"/>
              <w:jc w:val="right"/>
            </w:pPr>
            <w:r/>
            <w:r>
              <w:rPr>
                <w:rFonts w:ascii="Tajawal" w:hAnsi="Tajawal" w:cs="Tajawal"/>
                <w:b w:val="0"/>
                <w:color w:val="333A36"/>
                <w:sz w:val="17"/>
                <w:szCs w:val="17"/>
                <w:rtl w:val="1"/>
              </w:rPr>
              <w:t>Google Maps SDK</w:t>
            </w:r>
          </w:p>
        </w:tc>
        <w:tc>
          <w:tcPr>
            <w:tcW w:type="dxa" w:w="3360"/>
          </w:tcPr>
          <w:p>
            <w:pPr>
              <w:bidi w:val="1"/>
              <w:spacing w:before="20" w:after="20"/>
              <w:jc w:val="right"/>
            </w:pPr>
            <w:r/>
            <w:r>
              <w:rPr>
                <w:rFonts w:ascii="Tajawal" w:hAnsi="Tajawal" w:cs="Tajawal"/>
                <w:b w:val="0"/>
                <w:color w:val="333A36"/>
                <w:sz w:val="17"/>
                <w:szCs w:val="17"/>
                <w:rtl w:val="1"/>
              </w:rPr>
              <w:t>تحديد الموقع، اختيار العنوان يدوياً، حساب المسافة، عرض نطاق التغطية.</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اللحظي</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Socket.IO client</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المحادثة وتحديث حالة الطلب ووصول العروض لحظياً دون استطلاع دوري يستنزف البطارية.</w:t>
            </w:r>
          </w:p>
        </w:tc>
      </w:tr>
      <w:tr>
        <w:tc>
          <w:tcPr>
            <w:tcW w:type="dxa" w:w="3360"/>
          </w:tcPr>
          <w:p>
            <w:pPr>
              <w:bidi w:val="1"/>
              <w:spacing w:before="20" w:after="20"/>
              <w:jc w:val="right"/>
            </w:pPr>
            <w:r/>
            <w:r>
              <w:rPr>
                <w:rFonts w:ascii="Tajawal" w:hAnsi="Tajawal" w:cs="Tajawal"/>
                <w:b w:val="0"/>
                <w:color w:val="333A36"/>
                <w:sz w:val="17"/>
                <w:szCs w:val="17"/>
                <w:rtl w:val="1"/>
              </w:rPr>
              <w:t>الوسائط</w:t>
            </w:r>
          </w:p>
        </w:tc>
        <w:tc>
          <w:tcPr>
            <w:tcW w:type="dxa" w:w="3360"/>
          </w:tcPr>
          <w:p>
            <w:pPr>
              <w:bidi w:val="1"/>
              <w:spacing w:before="20" w:after="20"/>
              <w:jc w:val="right"/>
            </w:pPr>
            <w:r/>
            <w:r>
              <w:rPr>
                <w:rFonts w:ascii="Tajawal" w:hAnsi="Tajawal" w:cs="Tajawal"/>
                <w:b w:val="0"/>
                <w:color w:val="333A36"/>
                <w:sz w:val="17"/>
                <w:szCs w:val="17"/>
                <w:rtl w:val="1"/>
              </w:rPr>
              <w:t>image_picker · video_compress</w:t>
            </w:r>
          </w:p>
        </w:tc>
        <w:tc>
          <w:tcPr>
            <w:tcW w:type="dxa" w:w="3360"/>
          </w:tcPr>
          <w:p>
            <w:pPr>
              <w:bidi w:val="1"/>
              <w:spacing w:before="20" w:after="20"/>
              <w:jc w:val="right"/>
            </w:pPr>
            <w:r/>
            <w:r>
              <w:rPr>
                <w:rFonts w:ascii="Tajawal" w:hAnsi="Tajawal" w:cs="Tajawal"/>
                <w:b w:val="0"/>
                <w:color w:val="333A36"/>
                <w:sz w:val="17"/>
                <w:szCs w:val="17"/>
                <w:rtl w:val="1"/>
              </w:rPr>
              <w:t>مطلب «ضغط الصور والفيديوهات قبل رفعها» — الضغط على الجهاز قبل الإرسال.</w:t>
            </w:r>
          </w:p>
        </w:tc>
      </w:tr>
    </w:tbl>
    <w:p>
      <w:pPr>
        <w:spacing w:after="60"/>
      </w:pPr>
    </w:p>
    <w:p>
      <w:pPr>
        <w:keepNext/>
        <w:bidi w:val="1"/>
        <w:spacing w:before="220" w:after="40"/>
        <w:jc w:val="right"/>
      </w:pPr>
      <w:r>
        <w:rPr>
          <w:rFonts w:ascii="Tajawal" w:hAnsi="Tajawal" w:cs="Tajawal"/>
          <w:b/>
          <w:color w:val="1D6B47"/>
          <w:sz w:val="24"/>
          <w:szCs w:val="24"/>
          <w:rtl w:val="1"/>
        </w:rPr>
        <w:t>٤-٢ النظام الخلفي</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العنصر</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التقنية</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المبرّر</w:t>
            </w:r>
          </w:p>
        </w:tc>
      </w:tr>
      <w:tr>
        <w:tc>
          <w:tcPr>
            <w:tcW w:type="dxa" w:w="3360"/>
          </w:tcPr>
          <w:p>
            <w:pPr>
              <w:bidi w:val="1"/>
              <w:spacing w:before="20" w:after="20"/>
              <w:jc w:val="right"/>
            </w:pPr>
            <w:r/>
            <w:r>
              <w:rPr>
                <w:rFonts w:ascii="Tajawal" w:hAnsi="Tajawal" w:cs="Tajawal"/>
                <w:b w:val="0"/>
                <w:color w:val="333A36"/>
                <w:sz w:val="17"/>
                <w:szCs w:val="17"/>
                <w:rtl w:val="1"/>
              </w:rPr>
              <w:t>إطار العمل</w:t>
            </w:r>
          </w:p>
        </w:tc>
        <w:tc>
          <w:tcPr>
            <w:tcW w:type="dxa" w:w="3360"/>
          </w:tcPr>
          <w:p>
            <w:pPr>
              <w:bidi w:val="1"/>
              <w:spacing w:before="20" w:after="20"/>
              <w:jc w:val="right"/>
            </w:pPr>
            <w:r/>
            <w:r>
              <w:rPr>
                <w:rFonts w:ascii="Tajawal" w:hAnsi="Tajawal" w:cs="Tajawal"/>
                <w:b w:val="0"/>
                <w:color w:val="333A36"/>
                <w:sz w:val="17"/>
                <w:szCs w:val="17"/>
                <w:rtl w:val="1"/>
              </w:rPr>
              <w:t>NestJS · Node.js 22 (TypeScript)</w:t>
            </w:r>
          </w:p>
        </w:tc>
        <w:tc>
          <w:tcPr>
            <w:tcW w:type="dxa" w:w="3360"/>
          </w:tcPr>
          <w:p>
            <w:pPr>
              <w:bidi w:val="1"/>
              <w:spacing w:before="20" w:after="20"/>
              <w:jc w:val="right"/>
            </w:pPr>
            <w:r/>
            <w:r>
              <w:rPr>
                <w:rFonts w:ascii="Tajawal" w:hAnsi="Tajawal" w:cs="Tajawal"/>
                <w:b w:val="0"/>
                <w:color w:val="333A36"/>
                <w:sz w:val="17"/>
                <w:szCs w:val="17"/>
                <w:rtl w:val="1"/>
              </w:rPr>
              <w:t>بنية وحدات وحقن تبعيات تترجم حدود المجال إلى شيفرة مباشرةً، وأداء ممتاز في الأحمال كثيفة الإدخال/الإخراج. TypeScript يعطي أماناً في الأنواع بين الخادم واللوحة.</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واجهات API</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REST + OpenAPI 3.1</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توثيق تلقائي وتوليد عملاء — والتوثيق الفنّي أحد المخرجات المطلوبة صراحةً.</w:t>
            </w:r>
          </w:p>
        </w:tc>
      </w:tr>
      <w:tr>
        <w:tc>
          <w:tcPr>
            <w:tcW w:type="dxa" w:w="3360"/>
          </w:tcPr>
          <w:p>
            <w:pPr>
              <w:bidi w:val="1"/>
              <w:spacing w:before="20" w:after="20"/>
              <w:jc w:val="right"/>
            </w:pPr>
            <w:r/>
            <w:r>
              <w:rPr>
                <w:rFonts w:ascii="Tajawal" w:hAnsi="Tajawal" w:cs="Tajawal"/>
                <w:b w:val="0"/>
                <w:color w:val="333A36"/>
                <w:sz w:val="17"/>
                <w:szCs w:val="17"/>
                <w:rtl w:val="1"/>
              </w:rPr>
              <w:t>اللحظي</w:t>
            </w:r>
          </w:p>
        </w:tc>
        <w:tc>
          <w:tcPr>
            <w:tcW w:type="dxa" w:w="3360"/>
          </w:tcPr>
          <w:p>
            <w:pPr>
              <w:bidi w:val="1"/>
              <w:spacing w:before="20" w:after="20"/>
              <w:jc w:val="right"/>
            </w:pPr>
            <w:r/>
            <w:r>
              <w:rPr>
                <w:rFonts w:ascii="Tajawal" w:hAnsi="Tajawal" w:cs="Tajawal"/>
                <w:b w:val="0"/>
                <w:color w:val="333A36"/>
                <w:sz w:val="17"/>
                <w:szCs w:val="17"/>
                <w:rtl w:val="1"/>
              </w:rPr>
              <w:t>Socket.IO + Redis Adapter</w:t>
            </w:r>
          </w:p>
        </w:tc>
        <w:tc>
          <w:tcPr>
            <w:tcW w:type="dxa" w:w="3360"/>
          </w:tcPr>
          <w:p>
            <w:pPr>
              <w:bidi w:val="1"/>
              <w:spacing w:before="20" w:after="20"/>
              <w:jc w:val="right"/>
            </w:pPr>
            <w:r/>
            <w:r>
              <w:rPr>
                <w:rFonts w:ascii="Tajawal" w:hAnsi="Tajawal" w:cs="Tajawal"/>
                <w:b w:val="0"/>
                <w:color w:val="333A36"/>
                <w:sz w:val="17"/>
                <w:szCs w:val="17"/>
                <w:rtl w:val="1"/>
              </w:rPr>
              <w:t>يعمل عبر نسخ متعدّدة من الخادم.</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الطوابير</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BullMQ على Redis</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الإشعارات ومعالجة الوسائط وبناء التقارير خارج دورة الطلب.</w:t>
            </w:r>
          </w:p>
        </w:tc>
      </w:tr>
      <w:tr>
        <w:tc>
          <w:tcPr>
            <w:tcW w:type="dxa" w:w="3360"/>
          </w:tcPr>
          <w:p>
            <w:pPr>
              <w:bidi w:val="1"/>
              <w:spacing w:before="20" w:after="20"/>
              <w:jc w:val="right"/>
            </w:pPr>
            <w:r/>
            <w:r>
              <w:rPr>
                <w:rFonts w:ascii="Tajawal" w:hAnsi="Tajawal" w:cs="Tajawal"/>
                <w:b w:val="0"/>
                <w:color w:val="333A36"/>
                <w:sz w:val="17"/>
                <w:szCs w:val="17"/>
                <w:rtl w:val="1"/>
              </w:rPr>
              <w:t>المصادقة</w:t>
            </w:r>
          </w:p>
        </w:tc>
        <w:tc>
          <w:tcPr>
            <w:tcW w:type="dxa" w:w="3360"/>
          </w:tcPr>
          <w:p>
            <w:pPr>
              <w:bidi w:val="1"/>
              <w:spacing w:before="20" w:after="20"/>
              <w:jc w:val="right"/>
            </w:pPr>
            <w:r/>
            <w:r>
              <w:rPr>
                <w:rFonts w:ascii="Tajawal" w:hAnsi="Tajawal" w:cs="Tajawal"/>
                <w:b w:val="0"/>
                <w:color w:val="333A36"/>
                <w:sz w:val="17"/>
                <w:szCs w:val="17"/>
                <w:rtl w:val="1"/>
              </w:rPr>
              <w:t>JWT + Refresh Rotation</w:t>
            </w:r>
          </w:p>
        </w:tc>
        <w:tc>
          <w:tcPr>
            <w:tcW w:type="dxa" w:w="3360"/>
          </w:tcPr>
          <w:p>
            <w:pPr>
              <w:bidi w:val="1"/>
              <w:spacing w:before="20" w:after="20"/>
              <w:jc w:val="right"/>
            </w:pPr>
            <w:r/>
            <w:r>
              <w:rPr>
                <w:rFonts w:ascii="Tajawal" w:hAnsi="Tajawal" w:cs="Tajawal"/>
                <w:b w:val="0"/>
                <w:color w:val="333A36"/>
                <w:sz w:val="17"/>
                <w:szCs w:val="17"/>
                <w:rtl w:val="1"/>
              </w:rPr>
              <w:t>مدّة جلسة محدّدة، وإبطال الجلسات، وإدارة الأجهزة النشطة — مطالب أمنية صريحة.</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الصلاحيات</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RBAC + CASL</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صلاحيات دقيقة لكل موظف، وتقييد الوصول إلى التقارير المالية.</w:t>
            </w:r>
          </w:p>
        </w:tc>
      </w:tr>
      <w:tr>
        <w:tc>
          <w:tcPr>
            <w:tcW w:type="dxa" w:w="3360"/>
          </w:tcPr>
          <w:p>
            <w:pPr>
              <w:bidi w:val="1"/>
              <w:spacing w:before="20" w:after="20"/>
              <w:jc w:val="right"/>
            </w:pPr>
            <w:r/>
            <w:r>
              <w:rPr>
                <w:rFonts w:ascii="Tajawal" w:hAnsi="Tajawal" w:cs="Tajawal"/>
                <w:b w:val="0"/>
                <w:color w:val="333A36"/>
                <w:sz w:val="17"/>
                <w:szCs w:val="17"/>
                <w:rtl w:val="1"/>
              </w:rPr>
              <w:t>التحقّق</w:t>
            </w:r>
          </w:p>
        </w:tc>
        <w:tc>
          <w:tcPr>
            <w:tcW w:type="dxa" w:w="3360"/>
          </w:tcPr>
          <w:p>
            <w:pPr>
              <w:bidi w:val="1"/>
              <w:spacing w:before="20" w:after="20"/>
              <w:jc w:val="right"/>
            </w:pPr>
            <w:r/>
            <w:r>
              <w:rPr>
                <w:rFonts w:ascii="Tajawal" w:hAnsi="Tajawal" w:cs="Tajawal"/>
                <w:b w:val="0"/>
                <w:color w:val="333A36"/>
                <w:sz w:val="17"/>
                <w:szCs w:val="17"/>
                <w:rtl w:val="1"/>
              </w:rPr>
              <w:t>Zod / class-validator</w:t>
            </w:r>
          </w:p>
        </w:tc>
        <w:tc>
          <w:tcPr>
            <w:tcW w:type="dxa" w:w="3360"/>
          </w:tcPr>
          <w:p>
            <w:pPr>
              <w:bidi w:val="1"/>
              <w:spacing w:before="20" w:after="20"/>
              <w:jc w:val="right"/>
            </w:pPr>
            <w:r/>
            <w:r>
              <w:rPr>
                <w:rFonts w:ascii="Tajawal" w:hAnsi="Tajawal" w:cs="Tajawal"/>
                <w:b w:val="0"/>
                <w:color w:val="333A36"/>
                <w:sz w:val="17"/>
                <w:szCs w:val="17"/>
                <w:rtl w:val="1"/>
              </w:rPr>
              <w:t>تحقّق صارم من كل مُدخَل على حدود API.</w:t>
            </w:r>
          </w:p>
        </w:tc>
      </w:tr>
    </w:tbl>
    <w:p>
      <w:pPr>
        <w:spacing w:after="60"/>
      </w:pPr>
    </w:p>
    <w:p>
      <w:pPr>
        <w:keepNext/>
        <w:bidi w:val="1"/>
        <w:spacing w:before="220" w:after="40"/>
        <w:jc w:val="right"/>
      </w:pPr>
      <w:r>
        <w:rPr>
          <w:rFonts w:ascii="Tajawal" w:hAnsi="Tajawal" w:cs="Tajawal"/>
          <w:b/>
          <w:color w:val="1D6B47"/>
          <w:sz w:val="24"/>
          <w:szCs w:val="24"/>
          <w:rtl w:val="1"/>
        </w:rPr>
        <w:t>٤-٣ البيانات والتخزين</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العنصر</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التقنية</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المبرّر</w:t>
            </w:r>
          </w:p>
        </w:tc>
      </w:tr>
      <w:tr>
        <w:tc>
          <w:tcPr>
            <w:tcW w:type="dxa" w:w="3360"/>
          </w:tcPr>
          <w:p>
            <w:pPr>
              <w:bidi w:val="1"/>
              <w:spacing w:before="20" w:after="20"/>
              <w:jc w:val="right"/>
            </w:pPr>
            <w:r/>
            <w:r>
              <w:rPr>
                <w:rFonts w:ascii="Tajawal" w:hAnsi="Tajawal" w:cs="Tajawal"/>
                <w:b w:val="0"/>
                <w:color w:val="333A36"/>
                <w:sz w:val="17"/>
                <w:szCs w:val="17"/>
                <w:rtl w:val="1"/>
              </w:rPr>
              <w:t>قاعدة البيانات</w:t>
            </w:r>
          </w:p>
        </w:tc>
        <w:tc>
          <w:tcPr>
            <w:tcW w:type="dxa" w:w="3360"/>
          </w:tcPr>
          <w:p>
            <w:pPr>
              <w:bidi w:val="1"/>
              <w:spacing w:before="20" w:after="20"/>
              <w:jc w:val="right"/>
            </w:pPr>
            <w:r/>
            <w:r>
              <w:rPr>
                <w:rFonts w:ascii="Tajawal" w:hAnsi="Tajawal" w:cs="Tajawal"/>
                <w:b w:val="0"/>
                <w:color w:val="333A36"/>
                <w:sz w:val="17"/>
                <w:szCs w:val="17"/>
                <w:rtl w:val="1"/>
              </w:rPr>
              <w:t>PostgreSQL 16</w:t>
            </w:r>
          </w:p>
        </w:tc>
        <w:tc>
          <w:tcPr>
            <w:tcW w:type="dxa" w:w="3360"/>
          </w:tcPr>
          <w:p>
            <w:pPr>
              <w:bidi w:val="1"/>
              <w:spacing w:before="20" w:after="20"/>
              <w:jc w:val="right"/>
            </w:pPr>
            <w:r/>
            <w:r>
              <w:rPr>
                <w:rFonts w:ascii="Tajawal" w:hAnsi="Tajawal" w:cs="Tajawal"/>
                <w:b w:val="0"/>
                <w:color w:val="333A36"/>
                <w:sz w:val="17"/>
                <w:szCs w:val="17"/>
                <w:rtl w:val="1"/>
              </w:rPr>
              <w:t>معاملات ACID كاملة — شرط للنظام المالي — ودعم JSONB للحقول الديناميكية، وبحث نصّي كامل مدمج.</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الاستعلام الجغرافي</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PostGIS</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مطلب «الإرسال بحسب نصف قطر التغطية» و«احتساب المسافة»: فهارس مكانية تُنجز استعلام «مَن يغطّي هذه النقطة» في أجزاء من الثانية.</w:t>
            </w:r>
          </w:p>
        </w:tc>
      </w:tr>
      <w:tr>
        <w:tc>
          <w:tcPr>
            <w:tcW w:type="dxa" w:w="3360"/>
          </w:tcPr>
          <w:p>
            <w:pPr>
              <w:bidi w:val="1"/>
              <w:spacing w:before="20" w:after="20"/>
              <w:jc w:val="right"/>
            </w:pPr>
            <w:r/>
            <w:r>
              <w:rPr>
                <w:rFonts w:ascii="Tajawal" w:hAnsi="Tajawal" w:cs="Tajawal"/>
                <w:b w:val="0"/>
                <w:color w:val="333A36"/>
                <w:sz w:val="17"/>
                <w:szCs w:val="17"/>
                <w:rtl w:val="1"/>
              </w:rPr>
              <w:t>الذاكرة المؤقّتة</w:t>
            </w:r>
          </w:p>
        </w:tc>
        <w:tc>
          <w:tcPr>
            <w:tcW w:type="dxa" w:w="3360"/>
          </w:tcPr>
          <w:p>
            <w:pPr>
              <w:bidi w:val="1"/>
              <w:spacing w:before="20" w:after="20"/>
              <w:jc w:val="right"/>
            </w:pPr>
            <w:r/>
            <w:r>
              <w:rPr>
                <w:rFonts w:ascii="Tajawal" w:hAnsi="Tajawal" w:cs="Tajawal"/>
                <w:b w:val="0"/>
                <w:color w:val="333A36"/>
                <w:sz w:val="17"/>
                <w:szCs w:val="17"/>
                <w:rtl w:val="1"/>
              </w:rPr>
              <w:t>Redis 7</w:t>
            </w:r>
          </w:p>
        </w:tc>
        <w:tc>
          <w:tcPr>
            <w:tcW w:type="dxa" w:w="3360"/>
          </w:tcPr>
          <w:p>
            <w:pPr>
              <w:bidi w:val="1"/>
              <w:spacing w:before="20" w:after="20"/>
              <w:jc w:val="right"/>
            </w:pPr>
            <w:r/>
            <w:r>
              <w:rPr>
                <w:rFonts w:ascii="Tajawal" w:hAnsi="Tajawal" w:cs="Tajawal"/>
                <w:b w:val="0"/>
                <w:color w:val="333A36"/>
                <w:sz w:val="17"/>
                <w:szCs w:val="17"/>
                <w:rtl w:val="1"/>
              </w:rPr>
              <w:t>الجلسات، وحالة توفّر مقدّمي الخدمة، وتحديد المعدّل، والطوابير، ونشر الأحداث.</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تخزين الوسائط</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S3-compatible + CDN</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صور الأعمال والوثائق والفيديو، بروابط موقّعة محدودة الصلاحية للوثائق الحسّاسة.</w:t>
            </w:r>
          </w:p>
        </w:tc>
      </w:tr>
      <w:tr>
        <w:tc>
          <w:tcPr>
            <w:tcW w:type="dxa" w:w="3360"/>
          </w:tcPr>
          <w:p>
            <w:pPr>
              <w:bidi w:val="1"/>
              <w:spacing w:before="20" w:after="20"/>
              <w:jc w:val="right"/>
            </w:pPr>
            <w:r/>
            <w:r>
              <w:rPr>
                <w:rFonts w:ascii="Tajawal" w:hAnsi="Tajawal" w:cs="Tajawal"/>
                <w:b w:val="0"/>
                <w:color w:val="333A36"/>
                <w:sz w:val="17"/>
                <w:szCs w:val="17"/>
                <w:rtl w:val="1"/>
              </w:rPr>
              <w:t>ترحيل المخطّط</w:t>
            </w:r>
          </w:p>
        </w:tc>
        <w:tc>
          <w:tcPr>
            <w:tcW w:type="dxa" w:w="3360"/>
          </w:tcPr>
          <w:p>
            <w:pPr>
              <w:bidi w:val="1"/>
              <w:spacing w:before="20" w:after="20"/>
              <w:jc w:val="right"/>
            </w:pPr>
            <w:r/>
            <w:r>
              <w:rPr>
                <w:rFonts w:ascii="Tajawal" w:hAnsi="Tajawal" w:cs="Tajawal"/>
                <w:b w:val="0"/>
                <w:color w:val="333A36"/>
                <w:sz w:val="17"/>
                <w:szCs w:val="17"/>
                <w:rtl w:val="1"/>
              </w:rPr>
              <w:t>Prisma Migrate</w:t>
            </w:r>
          </w:p>
        </w:tc>
        <w:tc>
          <w:tcPr>
            <w:tcW w:type="dxa" w:w="3360"/>
          </w:tcPr>
          <w:p>
            <w:pPr>
              <w:bidi w:val="1"/>
              <w:spacing w:before="20" w:after="20"/>
              <w:jc w:val="right"/>
            </w:pPr>
            <w:r/>
            <w:r>
              <w:rPr>
                <w:rFonts w:ascii="Tajawal" w:hAnsi="Tajawal" w:cs="Tajawal"/>
                <w:b w:val="0"/>
                <w:color w:val="333A36"/>
                <w:sz w:val="17"/>
                <w:szCs w:val="17"/>
                <w:rtl w:val="1"/>
              </w:rPr>
              <w:t>ترحيلات مُصدَرة ومُراجَعة، وبيئة اختبار مطابقة للإنتاج.</w:t>
            </w:r>
          </w:p>
        </w:tc>
      </w:tr>
    </w:tbl>
    <w:p>
      <w:pPr>
        <w:spacing w:after="60"/>
      </w:pPr>
    </w:p>
    <w:p>
      <w:pPr>
        <w:keepNext/>
        <w:bidi w:val="1"/>
        <w:spacing w:before="220" w:after="40"/>
        <w:jc w:val="right"/>
      </w:pPr>
      <w:r>
        <w:rPr>
          <w:rFonts w:ascii="Tajawal" w:hAnsi="Tajawal" w:cs="Tajawal"/>
          <w:b/>
          <w:color w:val="1D6B47"/>
          <w:sz w:val="24"/>
          <w:szCs w:val="24"/>
          <w:rtl w:val="1"/>
        </w:rPr>
        <w:t>٤-٤ لوحة الإدارة والصفحة التعريفية</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العنصر</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التقنية</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المبرّر</w:t>
            </w:r>
          </w:p>
        </w:tc>
      </w:tr>
      <w:tr>
        <w:tc>
          <w:tcPr>
            <w:tcW w:type="dxa" w:w="3360"/>
          </w:tcPr>
          <w:p>
            <w:pPr>
              <w:bidi w:val="1"/>
              <w:spacing w:before="20" w:after="20"/>
              <w:jc w:val="right"/>
            </w:pPr>
            <w:r/>
            <w:r>
              <w:rPr>
                <w:rFonts w:ascii="Tajawal" w:hAnsi="Tajawal" w:cs="Tajawal"/>
                <w:b w:val="0"/>
                <w:color w:val="333A36"/>
                <w:sz w:val="17"/>
                <w:szCs w:val="17"/>
                <w:rtl w:val="1"/>
              </w:rPr>
              <w:t>لوحة الإدارة</w:t>
            </w:r>
          </w:p>
        </w:tc>
        <w:tc>
          <w:tcPr>
            <w:tcW w:type="dxa" w:w="3360"/>
          </w:tcPr>
          <w:p>
            <w:pPr>
              <w:bidi w:val="1"/>
              <w:spacing w:before="20" w:after="20"/>
              <w:jc w:val="right"/>
            </w:pPr>
            <w:r/>
            <w:r>
              <w:rPr>
                <w:rFonts w:ascii="Tajawal" w:hAnsi="Tajawal" w:cs="Tajawal"/>
                <w:b w:val="0"/>
                <w:color w:val="333A36"/>
                <w:sz w:val="17"/>
                <w:szCs w:val="17"/>
                <w:rtl w:val="1"/>
              </w:rPr>
              <w:t>React 18 + TypeScript + Vite</w:t>
            </w:r>
          </w:p>
        </w:tc>
        <w:tc>
          <w:tcPr>
            <w:tcW w:type="dxa" w:w="3360"/>
          </w:tcPr>
          <w:p>
            <w:pPr>
              <w:bidi w:val="1"/>
              <w:spacing w:before="20" w:after="20"/>
              <w:jc w:val="right"/>
            </w:pPr>
            <w:r/>
            <w:r>
              <w:rPr>
                <w:rFonts w:ascii="Tajawal" w:hAnsi="Tajawal" w:cs="Tajawal"/>
                <w:b w:val="0"/>
                <w:color w:val="333A36"/>
                <w:sz w:val="17"/>
                <w:szCs w:val="17"/>
                <w:rtl w:val="1"/>
              </w:rPr>
              <w:t>لوحة داخلية لا تحتاج فهرسة محرّكات بحث؛ تطبيق أحادي الصفحة أسرع في الجداول الكبيرة والتصفية.</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مكتبة الواجهة</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MUI (RTL) + TanStack Table</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دعم RTL أصلي، وجداول ضخمة بترقيم من الخادم وتصفية متقدّمة.</w:t>
            </w:r>
          </w:p>
        </w:tc>
      </w:tr>
      <w:tr>
        <w:tc>
          <w:tcPr>
            <w:tcW w:type="dxa" w:w="3360"/>
          </w:tcPr>
          <w:p>
            <w:pPr>
              <w:bidi w:val="1"/>
              <w:spacing w:before="20" w:after="20"/>
              <w:jc w:val="right"/>
            </w:pPr>
            <w:r/>
            <w:r>
              <w:rPr>
                <w:rFonts w:ascii="Tajawal" w:hAnsi="Tajawal" w:cs="Tajawal"/>
                <w:b w:val="0"/>
                <w:color w:val="333A36"/>
                <w:sz w:val="17"/>
                <w:szCs w:val="17"/>
                <w:rtl w:val="1"/>
              </w:rPr>
              <w:t>الرسوم البيانية</w:t>
            </w:r>
          </w:p>
        </w:tc>
        <w:tc>
          <w:tcPr>
            <w:tcW w:type="dxa" w:w="3360"/>
          </w:tcPr>
          <w:p>
            <w:pPr>
              <w:bidi w:val="1"/>
              <w:spacing w:before="20" w:after="20"/>
              <w:jc w:val="right"/>
            </w:pPr>
            <w:r/>
            <w:r>
              <w:rPr>
                <w:rFonts w:ascii="Tajawal" w:hAnsi="Tajawal" w:cs="Tajawal"/>
                <w:b w:val="0"/>
                <w:color w:val="333A36"/>
                <w:sz w:val="17"/>
                <w:szCs w:val="17"/>
                <w:rtl w:val="1"/>
              </w:rPr>
              <w:t>Recharts</w:t>
            </w:r>
          </w:p>
        </w:tc>
        <w:tc>
          <w:tcPr>
            <w:tcW w:type="dxa" w:w="3360"/>
          </w:tcPr>
          <w:p>
            <w:pPr>
              <w:bidi w:val="1"/>
              <w:spacing w:before="20" w:after="20"/>
              <w:jc w:val="right"/>
            </w:pPr>
            <w:r/>
            <w:r>
              <w:rPr>
                <w:rFonts w:ascii="Tajawal" w:hAnsi="Tajawal" w:cs="Tajawal"/>
                <w:b w:val="0"/>
                <w:color w:val="333A36"/>
                <w:sz w:val="17"/>
                <w:szCs w:val="17"/>
                <w:rtl w:val="1"/>
              </w:rPr>
              <w:t>لوحة المؤشّرات والنمو والتوزيع الجغرافي.</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الصفحة التعريفية</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Next.js (SSR/SSG)</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مطلب SEO وسرعة التحميل: تصيير على الخادم مع وسوم Meta عربية سليمة.</w:t>
            </w:r>
          </w:p>
        </w:tc>
      </w:tr>
    </w:tbl>
    <w:p>
      <w:pPr>
        <w:spacing w:after="60"/>
      </w:pPr>
    </w:p>
    <w:p>
      <w:pPr>
        <w:keepNext/>
        <w:bidi w:val="1"/>
        <w:spacing w:before="220" w:after="40"/>
        <w:jc w:val="right"/>
      </w:pPr>
      <w:r>
        <w:rPr>
          <w:rFonts w:ascii="Tajawal" w:hAnsi="Tajawal" w:cs="Tajawal"/>
          <w:b/>
          <w:color w:val="1D6B47"/>
          <w:sz w:val="24"/>
          <w:szCs w:val="24"/>
          <w:rtl w:val="1"/>
        </w:rPr>
        <w:t>٤-٥ البنية التحتية والتشغيل</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العنصر</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التقنية</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الغرض</w:t>
            </w:r>
          </w:p>
        </w:tc>
      </w:tr>
      <w:tr>
        <w:tc>
          <w:tcPr>
            <w:tcW w:type="dxa" w:w="3360"/>
          </w:tcPr>
          <w:p>
            <w:pPr>
              <w:bidi w:val="1"/>
              <w:spacing w:before="20" w:after="20"/>
              <w:jc w:val="right"/>
            </w:pPr>
            <w:r/>
            <w:r>
              <w:rPr>
                <w:rFonts w:ascii="Tajawal" w:hAnsi="Tajawal" w:cs="Tajawal"/>
                <w:b w:val="0"/>
                <w:color w:val="333A36"/>
                <w:sz w:val="17"/>
                <w:szCs w:val="17"/>
                <w:rtl w:val="1"/>
              </w:rPr>
              <w:t>الحاويات</w:t>
            </w:r>
          </w:p>
        </w:tc>
        <w:tc>
          <w:tcPr>
            <w:tcW w:type="dxa" w:w="3360"/>
          </w:tcPr>
          <w:p>
            <w:pPr>
              <w:bidi w:val="1"/>
              <w:spacing w:before="20" w:after="20"/>
              <w:jc w:val="right"/>
            </w:pPr>
            <w:r/>
            <w:r>
              <w:rPr>
                <w:rFonts w:ascii="Tajawal" w:hAnsi="Tajawal" w:cs="Tajawal"/>
                <w:b w:val="0"/>
                <w:color w:val="333A36"/>
                <w:sz w:val="17"/>
                <w:szCs w:val="17"/>
                <w:rtl w:val="1"/>
              </w:rPr>
              <w:t>Docker + Compose</w:t>
            </w:r>
          </w:p>
        </w:tc>
        <w:tc>
          <w:tcPr>
            <w:tcW w:type="dxa" w:w="3360"/>
          </w:tcPr>
          <w:p>
            <w:pPr>
              <w:bidi w:val="1"/>
              <w:spacing w:before="20" w:after="20"/>
              <w:jc w:val="right"/>
            </w:pPr>
            <w:r/>
            <w:r>
              <w:rPr>
                <w:rFonts w:ascii="Tajawal" w:hAnsi="Tajawal" w:cs="Tajawal"/>
                <w:b w:val="0"/>
                <w:color w:val="333A36"/>
                <w:sz w:val="17"/>
                <w:szCs w:val="17"/>
                <w:rtl w:val="1"/>
              </w:rPr>
              <w:t>بيئات متطابقة بين التطوير والاختبار والإنتاج.</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التكامل المستمرّ</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GitHub Actions</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بناء واختبار ونشر آلي مع بوّابات جودة.</w:t>
            </w:r>
          </w:p>
        </w:tc>
      </w:tr>
      <w:tr>
        <w:tc>
          <w:tcPr>
            <w:tcW w:type="dxa" w:w="3360"/>
          </w:tcPr>
          <w:p>
            <w:pPr>
              <w:bidi w:val="1"/>
              <w:spacing w:before="20" w:after="20"/>
              <w:jc w:val="right"/>
            </w:pPr>
            <w:r/>
            <w:r>
              <w:rPr>
                <w:rFonts w:ascii="Tajawal" w:hAnsi="Tajawal" w:cs="Tajawal"/>
                <w:b w:val="0"/>
                <w:color w:val="333A36"/>
                <w:sz w:val="17"/>
                <w:szCs w:val="17"/>
                <w:rtl w:val="1"/>
              </w:rPr>
              <w:t>الوكيل العكسي</w:t>
            </w:r>
          </w:p>
        </w:tc>
        <w:tc>
          <w:tcPr>
            <w:tcW w:type="dxa" w:w="3360"/>
          </w:tcPr>
          <w:p>
            <w:pPr>
              <w:bidi w:val="1"/>
              <w:spacing w:before="20" w:after="20"/>
              <w:jc w:val="right"/>
            </w:pPr>
            <w:r/>
            <w:r>
              <w:rPr>
                <w:rFonts w:ascii="Tajawal" w:hAnsi="Tajawal" w:cs="Tajawal"/>
                <w:b w:val="0"/>
                <w:color w:val="333A36"/>
                <w:sz w:val="17"/>
                <w:szCs w:val="17"/>
                <w:rtl w:val="1"/>
              </w:rPr>
              <w:t>Nginx + TLS</w:t>
            </w:r>
          </w:p>
        </w:tc>
        <w:tc>
          <w:tcPr>
            <w:tcW w:type="dxa" w:w="3360"/>
          </w:tcPr>
          <w:p>
            <w:pPr>
              <w:bidi w:val="1"/>
              <w:spacing w:before="20" w:after="20"/>
              <w:jc w:val="right"/>
            </w:pPr>
            <w:r/>
            <w:r>
              <w:rPr>
                <w:rFonts w:ascii="Tajawal" w:hAnsi="Tajawal" w:cs="Tajawal"/>
                <w:b w:val="0"/>
                <w:color w:val="333A36"/>
                <w:sz w:val="17"/>
                <w:szCs w:val="17"/>
                <w:rtl w:val="1"/>
              </w:rPr>
              <w:t>إنهاء TLS، وضغط، ورؤوس أمان.</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تتبّع الأخطاء</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Sentry</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مطلب «مراقبة الأعطال وتسجيل الأخطاء».</w:t>
            </w:r>
          </w:p>
        </w:tc>
      </w:tr>
      <w:tr>
        <w:tc>
          <w:tcPr>
            <w:tcW w:type="dxa" w:w="3360"/>
          </w:tcPr>
          <w:p>
            <w:pPr>
              <w:bidi w:val="1"/>
              <w:spacing w:before="20" w:after="20"/>
              <w:jc w:val="right"/>
            </w:pPr>
            <w:r/>
            <w:r>
              <w:rPr>
                <w:rFonts w:ascii="Tajawal" w:hAnsi="Tajawal" w:cs="Tajawal"/>
                <w:b w:val="0"/>
                <w:color w:val="333A36"/>
                <w:sz w:val="17"/>
                <w:szCs w:val="17"/>
                <w:rtl w:val="1"/>
              </w:rPr>
              <w:t>السجلّات والمقاييس</w:t>
            </w:r>
          </w:p>
        </w:tc>
        <w:tc>
          <w:tcPr>
            <w:tcW w:type="dxa" w:w="3360"/>
          </w:tcPr>
          <w:p>
            <w:pPr>
              <w:bidi w:val="1"/>
              <w:spacing w:before="20" w:after="20"/>
              <w:jc w:val="right"/>
            </w:pPr>
            <w:r/>
            <w:r>
              <w:rPr>
                <w:rFonts w:ascii="Tajawal" w:hAnsi="Tajawal" w:cs="Tajawal"/>
                <w:b w:val="0"/>
                <w:color w:val="333A36"/>
                <w:sz w:val="17"/>
                <w:szCs w:val="17"/>
                <w:rtl w:val="1"/>
              </w:rPr>
              <w:t>Prometheus + Grafana + Loki</w:t>
            </w:r>
          </w:p>
        </w:tc>
        <w:tc>
          <w:tcPr>
            <w:tcW w:type="dxa" w:w="3360"/>
          </w:tcPr>
          <w:p>
            <w:pPr>
              <w:bidi w:val="1"/>
              <w:spacing w:before="20" w:after="20"/>
              <w:jc w:val="right"/>
            </w:pPr>
            <w:r/>
            <w:r>
              <w:rPr>
                <w:rFonts w:ascii="Tajawal" w:hAnsi="Tajawal" w:cs="Tajawal"/>
                <w:b w:val="0"/>
                <w:color w:val="333A36"/>
                <w:sz w:val="17"/>
                <w:szCs w:val="17"/>
                <w:rtl w:val="1"/>
              </w:rPr>
              <w:t>مراقبة الأداء والتنبيه.</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النسخ الاحتياطي</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لقطات مُدارة + أرشفة سجلّ</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نسخ يومية مع اختبار استعادة دوري.</w:t>
            </w:r>
          </w:p>
        </w:tc>
      </w:tr>
      <w:tr>
        <w:tc>
          <w:tcPr>
            <w:tcW w:type="dxa" w:w="3360"/>
          </w:tcPr>
          <w:p>
            <w:pPr>
              <w:bidi w:val="1"/>
              <w:spacing w:before="20" w:after="20"/>
              <w:jc w:val="right"/>
            </w:pPr>
            <w:r/>
            <w:r>
              <w:rPr>
                <w:rFonts w:ascii="Tajawal" w:hAnsi="Tajawal" w:cs="Tajawal"/>
                <w:b w:val="0"/>
                <w:color w:val="333A36"/>
                <w:sz w:val="17"/>
                <w:szCs w:val="17"/>
                <w:rtl w:val="1"/>
              </w:rPr>
              <w:t>التحليلات</w:t>
            </w:r>
          </w:p>
        </w:tc>
        <w:tc>
          <w:tcPr>
            <w:tcW w:type="dxa" w:w="3360"/>
          </w:tcPr>
          <w:p>
            <w:pPr>
              <w:bidi w:val="1"/>
              <w:spacing w:before="20" w:after="20"/>
              <w:jc w:val="right"/>
            </w:pPr>
            <w:r/>
            <w:r>
              <w:rPr>
                <w:rFonts w:ascii="Tajawal" w:hAnsi="Tajawal" w:cs="Tajawal"/>
                <w:b w:val="0"/>
                <w:color w:val="333A36"/>
                <w:sz w:val="17"/>
                <w:szCs w:val="17"/>
                <w:rtl w:val="1"/>
              </w:rPr>
              <w:t>Firebase Analytics</w:t>
            </w:r>
          </w:p>
        </w:tc>
        <w:tc>
          <w:tcPr>
            <w:tcW w:type="dxa" w:w="3360"/>
          </w:tcPr>
          <w:p>
            <w:pPr>
              <w:bidi w:val="1"/>
              <w:spacing w:before="20" w:after="20"/>
              <w:jc w:val="right"/>
            </w:pPr>
            <w:r/>
            <w:r>
              <w:rPr>
                <w:rFonts w:ascii="Tajawal" w:hAnsi="Tajawal" w:cs="Tajawal"/>
                <w:b w:val="0"/>
                <w:color w:val="333A36"/>
                <w:sz w:val="17"/>
                <w:szCs w:val="17"/>
                <w:rtl w:val="1"/>
              </w:rPr>
              <w:t>سلوك المستخدم داخل التطبيق.</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٥ نموذج البيانات وقاعدة البيانات</w:t>
      </w:r>
    </w:p>
    <w:p>
      <w:pPr>
        <w:bidi w:val="1"/>
        <w:spacing w:after="140" w:line="348" w:lineRule="auto"/>
        <w:jc w:val="right"/>
      </w:pPr>
      <w:r>
        <w:rPr>
          <w:rFonts w:ascii="Tajawal" w:hAnsi="Tajawal" w:cs="Tajawal"/>
          <w:b w:val="0"/>
          <w:color w:val="5F6B65"/>
          <w:sz w:val="22"/>
          <w:szCs w:val="22"/>
          <w:rtl w:val="1"/>
        </w:rPr>
        <w:t xml:space="preserve">نموذج مُطبَّع يفصل </w:t>
      </w:r>
      <w:r>
        <w:rPr>
          <w:rFonts w:ascii="Tajawal" w:hAnsi="Tajawal" w:cs="Tajawal"/>
          <w:b/>
          <w:color w:val="5F6B65"/>
          <w:sz w:val="22"/>
          <w:szCs w:val="22"/>
          <w:rtl w:val="1"/>
        </w:rPr>
        <w:t xml:space="preserve">الهوية </w:t>
      </w:r>
      <w:r>
        <w:rPr>
          <w:rFonts w:ascii="Tajawal" w:hAnsi="Tajawal" w:cs="Tajawal"/>
          <w:b w:val="0"/>
          <w:color w:val="5F6B65"/>
          <w:sz w:val="22"/>
          <w:szCs w:val="22"/>
          <w:rtl w:val="1"/>
        </w:rPr>
        <w:t xml:space="preserve">عن </w:t>
      </w:r>
      <w:r>
        <w:rPr>
          <w:rFonts w:ascii="Tajawal" w:hAnsi="Tajawal" w:cs="Tajawal"/>
          <w:b/>
          <w:color w:val="5F6B65"/>
          <w:sz w:val="22"/>
          <w:szCs w:val="22"/>
          <w:rtl w:val="1"/>
        </w:rPr>
        <w:t xml:space="preserve">الملف المهني </w:t>
      </w:r>
      <w:r>
        <w:rPr>
          <w:rFonts w:ascii="Tajawal" w:hAnsi="Tajawal" w:cs="Tajawal"/>
          <w:b w:val="0"/>
          <w:color w:val="5F6B65"/>
          <w:sz w:val="22"/>
          <w:szCs w:val="22"/>
          <w:rtl w:val="1"/>
        </w:rPr>
        <w:t xml:space="preserve">عن </w:t>
      </w:r>
      <w:r>
        <w:rPr>
          <w:rFonts w:ascii="Tajawal" w:hAnsi="Tajawal" w:cs="Tajawal"/>
          <w:b/>
          <w:color w:val="5F6B65"/>
          <w:sz w:val="22"/>
          <w:szCs w:val="22"/>
          <w:rtl w:val="1"/>
        </w:rPr>
        <w:t xml:space="preserve">القيد المالي </w:t>
      </w:r>
      <w:r>
        <w:rPr>
          <w:rFonts w:ascii="Tajawal" w:hAnsi="Tajawal" w:cs="Tajawal"/>
          <w:b w:val="0"/>
          <w:color w:val="5F6B65"/>
          <w:sz w:val="22"/>
          <w:szCs w:val="22"/>
          <w:rtl w:val="1"/>
        </w:rPr>
        <w:t xml:space="preserve">. هذا الفصل هو ما يسمح بحساب واحد بوَضعين، وبتدقيق مالي سليم، وبإضافة خدمات جديدة دون تعديل برمجي. </w:t>
      </w:r>
    </w:p>
    <w:p>
      <w:pPr>
        <w:keepNext/>
        <w:bidi w:val="1"/>
        <w:spacing w:before="220" w:after="40"/>
        <w:jc w:val="right"/>
      </w:pPr>
      <w:r>
        <w:rPr>
          <w:rFonts w:ascii="Tajawal" w:hAnsi="Tajawal" w:cs="Tajawal"/>
          <w:b/>
          <w:color w:val="1D6B47"/>
          <w:sz w:val="24"/>
          <w:szCs w:val="24"/>
          <w:rtl w:val="1"/>
        </w:rPr>
        <w:t>٥-١ المجموعات الرئيسية للجداول</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المجموعة</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الجداول الرئيسية</w:t>
            </w:r>
          </w:p>
        </w:tc>
        <w:tc>
          <w:tcPr>
            <w:tcW w:type="dxa" w:w="3360"/>
            <w:shd w:val="clear" w:color="auto" w:fill="14512F"/>
          </w:tcPr>
          <w:p>
            <w:pPr>
              <w:bidi w:val="1"/>
              <w:spacing w:before="20" w:after="20"/>
              <w:jc w:val="right"/>
            </w:pPr>
            <w:r/>
            <w:r>
              <w:rPr>
                <w:rFonts w:ascii="Tajawal" w:hAnsi="Tajawal" w:cs="Tajawal"/>
                <w:b/>
                <w:color w:val="FFFFFF"/>
                <w:sz w:val="17"/>
                <w:szCs w:val="17"/>
                <w:rtl w:val="1"/>
              </w:rPr>
              <w:t>ملاحظات التصميم</w:t>
            </w:r>
          </w:p>
        </w:tc>
      </w:tr>
      <w:tr>
        <w:tc>
          <w:tcPr>
            <w:tcW w:type="dxa" w:w="3360"/>
          </w:tcPr>
          <w:p>
            <w:pPr>
              <w:bidi w:val="1"/>
              <w:spacing w:before="20" w:after="20"/>
              <w:jc w:val="right"/>
            </w:pPr>
            <w:r/>
            <w:r>
              <w:rPr>
                <w:rFonts w:ascii="Tajawal" w:hAnsi="Tajawal" w:cs="Tajawal"/>
                <w:b w:val="0"/>
                <w:color w:val="333A36"/>
                <w:sz w:val="17"/>
                <w:szCs w:val="17"/>
                <w:rtl w:val="1"/>
              </w:rPr>
              <w:t>الهويات والوصول</w:t>
            </w:r>
          </w:p>
        </w:tc>
        <w:tc>
          <w:tcPr>
            <w:tcW w:type="dxa" w:w="3360"/>
          </w:tcPr>
          <w:p>
            <w:pPr>
              <w:bidi w:val="1"/>
              <w:spacing w:before="20" w:after="20"/>
              <w:jc w:val="right"/>
            </w:pPr>
            <w:r/>
            <w:r>
              <w:rPr>
                <w:rFonts w:ascii="Tajawal" w:hAnsi="Tajawal" w:cs="Tajawal"/>
                <w:b w:val="0"/>
                <w:color w:val="333A36"/>
                <w:sz w:val="17"/>
                <w:szCs w:val="17"/>
                <w:rtl w:val="1"/>
              </w:rPr>
              <w:t>users user_devices sessions otp_challenges roles permissions admin_users audit_log</w:t>
            </w:r>
          </w:p>
        </w:tc>
        <w:tc>
          <w:tcPr>
            <w:tcW w:type="dxa" w:w="3360"/>
          </w:tcPr>
          <w:p>
            <w:pPr>
              <w:bidi w:val="1"/>
              <w:spacing w:before="20" w:after="20"/>
              <w:jc w:val="right"/>
            </w:pPr>
            <w:r/>
            <w:r>
              <w:rPr>
                <w:rFonts w:ascii="Tajawal" w:hAnsi="Tajawal" w:cs="Tajawal"/>
                <w:b w:val="0"/>
                <w:color w:val="333A36"/>
                <w:sz w:val="17"/>
                <w:szCs w:val="17"/>
                <w:rtl w:val="1"/>
              </w:rPr>
              <w:t>المستخدم واحد. الأدوار مفصولة لتسمح بأدوار متعدّدة. سجلّ التدقيق يقيّد كل إجراء إداري حسّاس.</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الملف المهني</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provider_profiles provider_documents provider_services provider_coverage provider_schedule portfolio_items</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ملف مهني اختياري يُضاف للمستخدم. التغطية مخزّنة كهندسة PostGIS، والجدول الزمني كفترات أسبوعية قابلة للاستعلام.</w:t>
            </w:r>
          </w:p>
        </w:tc>
      </w:tr>
      <w:tr>
        <w:tc>
          <w:tcPr>
            <w:tcW w:type="dxa" w:w="3360"/>
          </w:tcPr>
          <w:p>
            <w:pPr>
              <w:bidi w:val="1"/>
              <w:spacing w:before="20" w:after="20"/>
              <w:jc w:val="right"/>
            </w:pPr>
            <w:r/>
            <w:r>
              <w:rPr>
                <w:rFonts w:ascii="Tajawal" w:hAnsi="Tajawal" w:cs="Tajawal"/>
                <w:b w:val="0"/>
                <w:color w:val="333A36"/>
                <w:sz w:val="17"/>
                <w:szCs w:val="17"/>
                <w:rtl w:val="1"/>
              </w:rPr>
              <w:t>الكتالوج</w:t>
            </w:r>
          </w:p>
        </w:tc>
        <w:tc>
          <w:tcPr>
            <w:tcW w:type="dxa" w:w="3360"/>
          </w:tcPr>
          <w:p>
            <w:pPr>
              <w:bidi w:val="1"/>
              <w:spacing w:before="20" w:after="20"/>
              <w:jc w:val="right"/>
            </w:pPr>
            <w:r/>
            <w:r>
              <w:rPr>
                <w:rFonts w:ascii="Tajawal" w:hAnsi="Tajawal" w:cs="Tajawal"/>
                <w:b w:val="0"/>
                <w:color w:val="333A36"/>
                <w:sz w:val="17"/>
                <w:szCs w:val="17"/>
                <w:rtl w:val="1"/>
              </w:rPr>
              <w:t>categories services service_fields pricing_models service_requirements</w:t>
            </w:r>
          </w:p>
        </w:tc>
        <w:tc>
          <w:tcPr>
            <w:tcW w:type="dxa" w:w="3360"/>
          </w:tcPr>
          <w:p>
            <w:pPr>
              <w:bidi w:val="1"/>
              <w:spacing w:before="20" w:after="20"/>
              <w:jc w:val="right"/>
            </w:pPr>
            <w:r/>
            <w:r>
              <w:rPr>
                <w:rFonts w:ascii="Tajawal" w:hAnsi="Tajawal" w:cs="Tajawal"/>
                <w:b w:val="0"/>
                <w:color w:val="333A36"/>
                <w:sz w:val="17"/>
                <w:szCs w:val="17"/>
                <w:rtl w:val="1"/>
              </w:rPr>
              <w:t>محور المرونة: service_fields يعرّف حقول كل خدمة كبيانات لا كشيفرة، فتُضاف مهنة جديدة من اللوحة.</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المواقع</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governorates cities districts user_addresses coverage_zones</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تسلسل هرمي كامل: محافظة ← مدينة ← منطقة ← حي، مع رسوم انتقال لكل منطقة.</w:t>
            </w:r>
          </w:p>
        </w:tc>
      </w:tr>
      <w:tr>
        <w:tc>
          <w:tcPr>
            <w:tcW w:type="dxa" w:w="3360"/>
          </w:tcPr>
          <w:p>
            <w:pPr>
              <w:bidi w:val="1"/>
              <w:spacing w:before="20" w:after="20"/>
              <w:jc w:val="right"/>
            </w:pPr>
            <w:r/>
            <w:r>
              <w:rPr>
                <w:rFonts w:ascii="Tajawal" w:hAnsi="Tajawal" w:cs="Tajawal"/>
                <w:b w:val="0"/>
                <w:color w:val="333A36"/>
                <w:sz w:val="17"/>
                <w:szCs w:val="17"/>
                <w:rtl w:val="1"/>
              </w:rPr>
              <w:t>الطلبات</w:t>
            </w:r>
          </w:p>
        </w:tc>
        <w:tc>
          <w:tcPr>
            <w:tcW w:type="dxa" w:w="3360"/>
          </w:tcPr>
          <w:p>
            <w:pPr>
              <w:bidi w:val="1"/>
              <w:spacing w:before="20" w:after="20"/>
              <w:jc w:val="right"/>
            </w:pPr>
            <w:r/>
            <w:r>
              <w:rPr>
                <w:rFonts w:ascii="Tajawal" w:hAnsi="Tajawal" w:cs="Tajawal"/>
                <w:b w:val="0"/>
                <w:color w:val="333A36"/>
                <w:sz w:val="17"/>
                <w:szCs w:val="17"/>
                <w:rtl w:val="1"/>
              </w:rPr>
              <w:t>orders order_items order_media order_status_history order_extras dispatch_log</w:t>
            </w:r>
          </w:p>
        </w:tc>
        <w:tc>
          <w:tcPr>
            <w:tcW w:type="dxa" w:w="3360"/>
          </w:tcPr>
          <w:p>
            <w:pPr>
              <w:bidi w:val="1"/>
              <w:spacing w:before="20" w:after="20"/>
              <w:jc w:val="right"/>
            </w:pPr>
            <w:r/>
            <w:r>
              <w:rPr>
                <w:rFonts w:ascii="Tajawal" w:hAnsi="Tajawal" w:cs="Tajawal"/>
                <w:b w:val="0"/>
                <w:color w:val="333A36"/>
                <w:sz w:val="17"/>
                <w:szCs w:val="17"/>
                <w:rtl w:val="1"/>
              </w:rPr>
              <w:t>كل انتقال حالة يُسجَّل بالتوقيت والفاعل — أساس تقارير الطلبات المتعثّرة وأوقات الاستجابة.</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العروض</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quotes quote_lines quote_revisions</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العرض يتضمّن أجور اليد العاملة والمواد ومدّة التنفيذ ووقت الوصول ومدّة الصلاحية.</w:t>
            </w:r>
          </w:p>
        </w:tc>
      </w:tr>
      <w:tr>
        <w:tc>
          <w:tcPr>
            <w:tcW w:type="dxa" w:w="3360"/>
          </w:tcPr>
          <w:p>
            <w:pPr>
              <w:bidi w:val="1"/>
              <w:spacing w:before="20" w:after="20"/>
              <w:jc w:val="right"/>
            </w:pPr>
            <w:r/>
            <w:r>
              <w:rPr>
                <w:rFonts w:ascii="Tajawal" w:hAnsi="Tajawal" w:cs="Tajawal"/>
                <w:b w:val="0"/>
                <w:color w:val="333A36"/>
                <w:sz w:val="17"/>
                <w:szCs w:val="17"/>
                <w:rtl w:val="1"/>
              </w:rPr>
              <w:t>المالية</w:t>
            </w:r>
          </w:p>
        </w:tc>
        <w:tc>
          <w:tcPr>
            <w:tcW w:type="dxa" w:w="3360"/>
          </w:tcPr>
          <w:p>
            <w:pPr>
              <w:bidi w:val="1"/>
              <w:spacing w:before="20" w:after="20"/>
              <w:jc w:val="right"/>
            </w:pPr>
            <w:r/>
            <w:r>
              <w:rPr>
                <w:rFonts w:ascii="Tajawal" w:hAnsi="Tajawal" w:cs="Tajawal"/>
                <w:b w:val="0"/>
                <w:color w:val="333A36"/>
                <w:sz w:val="17"/>
                <w:szCs w:val="17"/>
                <w:rtl w:val="1"/>
              </w:rPr>
              <w:t>ledger_entries wallets payments refunds commission_rules payouts invoices</w:t>
            </w:r>
          </w:p>
        </w:tc>
        <w:tc>
          <w:tcPr>
            <w:tcW w:type="dxa" w:w="3360"/>
          </w:tcPr>
          <w:p>
            <w:pPr>
              <w:bidi w:val="1"/>
              <w:spacing w:before="20" w:after="20"/>
              <w:jc w:val="right"/>
            </w:pPr>
            <w:r/>
            <w:r>
              <w:rPr>
                <w:rFonts w:ascii="Tajawal" w:hAnsi="Tajawal" w:cs="Tajawal"/>
                <w:b w:val="0"/>
                <w:color w:val="333A36"/>
                <w:sz w:val="17"/>
                <w:szCs w:val="17"/>
                <w:rtl w:val="1"/>
              </w:rPr>
              <w:t>دفتر قيود مزدوج غير قابل للتعديل. أي تصحيح يُقيَّد كقيد عكسي لا بتعديل السجل.</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التواصل</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conversations messages message_flags notifications notification_templates</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المحادثة مرتبطة بالطلب وتُحفظ كسجلّ في النزاعات.</w:t>
            </w:r>
          </w:p>
        </w:tc>
      </w:tr>
      <w:tr>
        <w:tc>
          <w:tcPr>
            <w:tcW w:type="dxa" w:w="3360"/>
          </w:tcPr>
          <w:p>
            <w:pPr>
              <w:bidi w:val="1"/>
              <w:spacing w:before="20" w:after="20"/>
              <w:jc w:val="right"/>
            </w:pPr>
            <w:r/>
            <w:r>
              <w:rPr>
                <w:rFonts w:ascii="Tajawal" w:hAnsi="Tajawal" w:cs="Tajawal"/>
                <w:b w:val="0"/>
                <w:color w:val="333A36"/>
                <w:sz w:val="17"/>
                <w:szCs w:val="17"/>
                <w:rtl w:val="1"/>
              </w:rPr>
              <w:t>الجودة</w:t>
            </w:r>
          </w:p>
        </w:tc>
        <w:tc>
          <w:tcPr>
            <w:tcW w:type="dxa" w:w="3360"/>
          </w:tcPr>
          <w:p>
            <w:pPr>
              <w:bidi w:val="1"/>
              <w:spacing w:before="20" w:after="20"/>
              <w:jc w:val="right"/>
            </w:pPr>
            <w:r/>
            <w:r>
              <w:rPr>
                <w:rFonts w:ascii="Tajawal" w:hAnsi="Tajawal" w:cs="Tajawal"/>
                <w:b w:val="0"/>
                <w:color w:val="333A36"/>
                <w:sz w:val="17"/>
                <w:szCs w:val="17"/>
                <w:rtl w:val="1"/>
              </w:rPr>
              <w:t>reviews review_criteria complaints complaint_messages disputes</w:t>
            </w:r>
          </w:p>
        </w:tc>
        <w:tc>
          <w:tcPr>
            <w:tcW w:type="dxa" w:w="3360"/>
          </w:tcPr>
          <w:p>
            <w:pPr>
              <w:bidi w:val="1"/>
              <w:spacing w:before="20" w:after="20"/>
              <w:jc w:val="right"/>
            </w:pPr>
            <w:r/>
            <w:r>
              <w:rPr>
                <w:rFonts w:ascii="Tajawal" w:hAnsi="Tajawal" w:cs="Tajawal"/>
                <w:b w:val="0"/>
                <w:color w:val="333A36"/>
                <w:sz w:val="17"/>
                <w:szCs w:val="17"/>
                <w:rtl w:val="1"/>
              </w:rPr>
              <w:t>تقييم ثنائي الاتجاه مقيّد بطلب مكتمل فعلي، وواحد لكل طرف لكل طلب.</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المحتوى</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banners pages faqs settings</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محتوى قابل للتحرير من اللوحة دون نشر إصدار جديد.</w:t>
            </w:r>
          </w:p>
        </w:tc>
      </w:tr>
    </w:tbl>
    <w:p>
      <w:pPr>
        <w:spacing w:after="60"/>
      </w:pPr>
    </w:p>
    <w:p>
      <w:pPr>
        <w:keepNext/>
        <w:bidi w:val="1"/>
        <w:spacing w:before="220" w:after="40"/>
        <w:jc w:val="right"/>
      </w:pPr>
      <w:r>
        <w:rPr>
          <w:rFonts w:ascii="Tajawal" w:hAnsi="Tajawal" w:cs="Tajawal"/>
          <w:b/>
          <w:color w:val="1D6B47"/>
          <w:sz w:val="24"/>
          <w:szCs w:val="24"/>
          <w:rtl w:val="1"/>
        </w:rPr>
        <w:t>٥-٢ المفتاح المعماري — الحقول الديناميكية للخدمات</w:t>
      </w:r>
    </w:p>
    <w:p>
      <w:pPr>
        <w:bidi w:val="1"/>
        <w:spacing w:after="100" w:line="348" w:lineRule="auto"/>
        <w:jc w:val="right"/>
      </w:pPr>
      <w:r>
        <w:rPr>
          <w:rFonts w:ascii="Tajawal" w:hAnsi="Tajawal" w:cs="Tajawal"/>
          <w:b w:val="0"/>
          <w:color w:val="333A36"/>
          <w:sz w:val="21"/>
          <w:szCs w:val="21"/>
          <w:rtl w:val="1"/>
        </w:rPr>
        <w:t xml:space="preserve">المطلب الأصعب في الوثيقة هو أن تضيف الإدارة خدمات جديدة </w:t>
      </w:r>
      <w:r>
        <w:rPr>
          <w:rFonts w:ascii="Tajawal" w:hAnsi="Tajawal" w:cs="Tajawal"/>
          <w:b/>
          <w:color w:val="333A36"/>
          <w:sz w:val="21"/>
          <w:szCs w:val="21"/>
          <w:rtl w:val="1"/>
        </w:rPr>
        <w:t xml:space="preserve">دون تعديل برمجي </w:t>
      </w:r>
      <w:r>
        <w:rPr>
          <w:rFonts w:ascii="Tajawal" w:hAnsi="Tajawal" w:cs="Tajawal"/>
          <w:b w:val="0"/>
          <w:color w:val="333A36"/>
          <w:sz w:val="21"/>
          <w:szCs w:val="21"/>
          <w:rtl w:val="1"/>
        </w:rPr>
        <w:t xml:space="preserve">. الحلّ أن يكون نموذج طلب كل خدمة معرَّفاً كبيانات: </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F5F8F6"/>
          </w:tcPr>
          <w:p>
            <w:pPr>
              <w:bidi w:val="1"/>
              <w:spacing w:after="20"/>
              <w:jc w:val="right"/>
            </w:pPr>
            <w:r/>
            <w:r>
              <w:rPr>
                <w:rFonts w:ascii="Tajawal" w:hAnsi="Tajawal" w:cs="Tajawal"/>
                <w:b/>
                <w:color w:val="14512F"/>
                <w:sz w:val="18"/>
                <w:szCs w:val="18"/>
                <w:rtl w:val="1"/>
              </w:rPr>
              <w:t>تعريف الحقول</w:t>
            </w:r>
          </w:p>
          <w:p>
            <w:pPr>
              <w:bidi w:val="1"/>
              <w:spacing w:after="20"/>
              <w:jc w:val="right"/>
            </w:pPr>
            <w:r>
              <w:rPr>
                <w:rFonts w:ascii="Tajawal" w:hAnsi="Tajawal" w:cs="Tajawal"/>
                <w:b w:val="0"/>
                <w:color w:val="333A36"/>
                <w:sz w:val="17"/>
                <w:szCs w:val="17"/>
                <w:rtl w:val="1"/>
              </w:rPr>
              <w:t>تعرّف الإدارة لكل خدمة حقولها: النوع (نص، رقم، اختيار، صورة، تاريخ)، وهل هو إلزامي، وقيمه المسموحة، وترتيب ظهوره.</w:t>
            </w:r>
          </w:p>
        </w:tc>
        <w:tc>
          <w:tcPr>
            <w:tcW w:type="dxa" w:w="3360"/>
            <w:shd w:val="clear" w:color="auto" w:fill="F5F8F6"/>
          </w:tcPr>
          <w:p>
            <w:pPr>
              <w:bidi w:val="1"/>
              <w:spacing w:after="20"/>
              <w:jc w:val="right"/>
            </w:pPr>
            <w:r/>
            <w:r>
              <w:rPr>
                <w:rFonts w:ascii="Tajawal" w:hAnsi="Tajawal" w:cs="Tajawal"/>
                <w:b/>
                <w:color w:val="14512F"/>
                <w:sz w:val="18"/>
                <w:szCs w:val="18"/>
                <w:rtl w:val="1"/>
              </w:rPr>
              <w:t>تصيير تلقائي</w:t>
            </w:r>
          </w:p>
          <w:p>
            <w:pPr>
              <w:bidi w:val="1"/>
              <w:spacing w:after="20"/>
              <w:jc w:val="right"/>
            </w:pPr>
            <w:r>
              <w:rPr>
                <w:rFonts w:ascii="Tajawal" w:hAnsi="Tajawal" w:cs="Tajawal"/>
                <w:b w:val="0"/>
                <w:color w:val="333A36"/>
                <w:sz w:val="17"/>
                <w:szCs w:val="17"/>
                <w:rtl w:val="1"/>
              </w:rPr>
              <w:t>التطبيق يبني شاشة الطلب من هذا التعريف لحظياً، فتظهر الخدمة الجديدة بنموذجها الصحيح دون تحديث التطبيق من المتجر.</w:t>
            </w:r>
          </w:p>
        </w:tc>
        <w:tc>
          <w:tcPr>
            <w:tcW w:type="dxa" w:w="3360"/>
            <w:shd w:val="clear" w:color="auto" w:fill="F5F8F6"/>
          </w:tcPr>
          <w:p>
            <w:pPr>
              <w:bidi w:val="1"/>
              <w:spacing w:after="20"/>
              <w:jc w:val="right"/>
            </w:pPr>
            <w:r/>
            <w:r>
              <w:rPr>
                <w:rFonts w:ascii="Tajawal" w:hAnsi="Tajawal" w:cs="Tajawal"/>
                <w:b/>
                <w:color w:val="14512F"/>
                <w:sz w:val="18"/>
                <w:szCs w:val="18"/>
                <w:rtl w:val="1"/>
              </w:rPr>
              <w:t>تخزين مرن ومفهرس</w:t>
            </w:r>
          </w:p>
          <w:p>
            <w:pPr>
              <w:bidi w:val="1"/>
              <w:spacing w:after="20"/>
              <w:jc w:val="right"/>
            </w:pPr>
            <w:r>
              <w:rPr>
                <w:rFonts w:ascii="Tajawal" w:hAnsi="Tajawal" w:cs="Tajawal"/>
                <w:b w:val="0"/>
                <w:color w:val="333A36"/>
                <w:sz w:val="17"/>
                <w:szCs w:val="17"/>
                <w:rtl w:val="1"/>
              </w:rPr>
              <w:t>تُحفظ الإجابات في عمود JSONB مفهرس، فتبقى قابلة للبحث والتصفية والتقرير رغم مرونتها.</w:t>
            </w:r>
          </w:p>
        </w:tc>
      </w:tr>
    </w:tbl>
    <w:p>
      <w:pPr>
        <w:spacing w:after="60"/>
      </w:pPr>
    </w:p>
    <w:tbl>
      <w:tblPr>
        <w:tblStyle w:val="TableGrid"/>
        <w:bidiVisual w:val="1"/>
        <w:tblW w:type="auto" w:w="0"/>
        <w:jc w:val="right"/>
        <w:tblLook w:firstColumn="1" w:firstRow="1" w:lastColumn="0" w:lastRow="0" w:noHBand="0" w:noVBand="1" w:val="04A0"/>
      </w:tblPr>
      <w:tblGrid>
        <w:gridCol w:w="10080"/>
      </w:tblGrid>
      <w:tr>
        <w:tc>
          <w:tcPr>
            <w:tcW w:type="dxa" w:w="10080"/>
            <w:shd w:val="clear" w:color="auto" w:fill="EEF3F0"/>
          </w:tcPr>
          <w:p>
            <w:pPr>
              <w:bidi w:val="1"/>
              <w:spacing w:after="40" w:line="336" w:lineRule="auto"/>
              <w:jc w:val="right"/>
            </w:pPr>
            <w:r/>
            <w:r>
              <w:rPr>
                <w:rFonts w:ascii="Tajawal" w:hAnsi="Tajawal" w:cs="Tajawal"/>
                <w:b/>
                <w:color w:val="14512F"/>
                <w:sz w:val="19"/>
                <w:szCs w:val="19"/>
                <w:rtl w:val="1"/>
              </w:rPr>
              <w:t>أثر هذا القرار عملياً</w:t>
            </w:r>
          </w:p>
          <w:p>
            <w:pPr>
              <w:bidi w:val="1"/>
              <w:spacing w:after="40" w:line="336" w:lineRule="auto"/>
              <w:jc w:val="right"/>
            </w:pPr>
            <w:r>
              <w:rPr>
                <w:rFonts w:ascii="Tajawal" w:hAnsi="Tajawal" w:cs="Tajawal"/>
                <w:b w:val="0"/>
                <w:color w:val="333A36"/>
                <w:sz w:val="18"/>
                <w:szCs w:val="18"/>
                <w:rtl w:val="1"/>
              </w:rPr>
              <w:t xml:space="preserve">إضافة مهنة جديدة — «فنّي ستائر ومفروشات» مثلاً — بحقولها الخاصّة ونموذج تسعيرها ووثائقها المطلوبة وعمولتها ومناطق تغطيتها، تتمّ </w:t>
            </w:r>
            <w:r>
              <w:rPr>
                <w:rFonts w:ascii="Tajawal" w:hAnsi="Tajawal" w:cs="Tajawal"/>
                <w:b/>
                <w:color w:val="333A36"/>
                <w:sz w:val="18"/>
                <w:szCs w:val="18"/>
                <w:rtl w:val="1"/>
              </w:rPr>
              <w:t xml:space="preserve">من لوحة الإدارة خلال دقائق </w:t>
            </w:r>
            <w:r>
              <w:rPr>
                <w:rFonts w:ascii="Tajawal" w:hAnsi="Tajawal" w:cs="Tajawal"/>
                <w:b w:val="0"/>
                <w:color w:val="333A36"/>
                <w:sz w:val="18"/>
                <w:szCs w:val="18"/>
                <w:rtl w:val="1"/>
              </w:rPr>
              <w:t xml:space="preserve">، دون إصدار جديد من التطبيق ودون انتظار مراجعة المتاجر. </w:t>
            </w:r>
          </w:p>
        </w:tc>
      </w:tr>
    </w:tbl>
    <w:p>
      <w:pPr>
        <w:spacing w:after="60"/>
      </w:pPr>
    </w:p>
    <w:p>
      <w:pPr>
        <w:keepNext/>
        <w:bidi w:val="1"/>
        <w:spacing w:before="220" w:after="40"/>
        <w:jc w:val="right"/>
      </w:pPr>
      <w:r>
        <w:rPr>
          <w:rFonts w:ascii="Tajawal" w:hAnsi="Tajawal" w:cs="Tajawal"/>
          <w:b/>
          <w:color w:val="1D6B47"/>
          <w:sz w:val="24"/>
          <w:szCs w:val="24"/>
          <w:rtl w:val="1"/>
        </w:rPr>
        <w:t>٥-٣ سياسات البيانات</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color w:val="333A36"/>
          <w:sz w:val="19"/>
          <w:szCs w:val="19"/>
          <w:rtl w:val="1"/>
        </w:rPr>
        <w:t xml:space="preserve">الحذف المنطقي </w:t>
      </w:r>
      <w:r>
        <w:rPr>
          <w:rFonts w:ascii="Tajawal" w:hAnsi="Tajawal" w:cs="Tajawal"/>
          <w:b w:val="0"/>
          <w:color w:val="333A36"/>
          <w:sz w:val="19"/>
          <w:szCs w:val="19"/>
          <w:rtl w:val="1"/>
        </w:rPr>
        <w:t xml:space="preserve">لكل سجلّ مرتبط بمعاملة مالية أو نزاع، حفاظاً على قابلية التدقيق.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color w:val="333A36"/>
          <w:sz w:val="19"/>
          <w:szCs w:val="19"/>
          <w:rtl w:val="1"/>
        </w:rPr>
        <w:t xml:space="preserve">تشفير على مستوى العمود </w:t>
      </w:r>
      <w:r>
        <w:rPr>
          <w:rFonts w:ascii="Tajawal" w:hAnsi="Tajawal" w:cs="Tajawal"/>
          <w:b w:val="0"/>
          <w:color w:val="333A36"/>
          <w:sz w:val="19"/>
          <w:szCs w:val="19"/>
          <w:rtl w:val="1"/>
        </w:rPr>
        <w:t xml:space="preserve">لأرقام الهوية والبيانات المالية.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color w:val="333A36"/>
          <w:sz w:val="19"/>
          <w:szCs w:val="19"/>
          <w:rtl w:val="1"/>
        </w:rPr>
        <w:t xml:space="preserve">فصل الوثائق </w:t>
      </w:r>
      <w:r>
        <w:rPr>
          <w:rFonts w:ascii="Tajawal" w:hAnsi="Tajawal" w:cs="Tajawal"/>
          <w:b w:val="0"/>
          <w:color w:val="333A36"/>
          <w:sz w:val="19"/>
          <w:szCs w:val="19"/>
          <w:rtl w:val="1"/>
        </w:rPr>
        <w:t xml:space="preserve">في تخزين خاصّ بروابط موقّعة قصيرة الصلاحية، لا يصل إليها إلا موظف مخوّل، وكل وصول مُقيَّد في سجلّ التدقيق.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color w:val="333A36"/>
          <w:sz w:val="19"/>
          <w:szCs w:val="19"/>
          <w:rtl w:val="1"/>
        </w:rPr>
        <w:t xml:space="preserve">الحذف عند الطلب </w:t>
      </w:r>
      <w:r>
        <w:rPr>
          <w:rFonts w:ascii="Tajawal" w:hAnsi="Tajawal" w:cs="Tajawal"/>
          <w:b w:val="0"/>
          <w:color w:val="333A36"/>
          <w:sz w:val="19"/>
          <w:szCs w:val="19"/>
          <w:rtl w:val="1"/>
        </w:rPr>
        <w:t xml:space="preserve">وفق سياسة الخصوصية، مع تجهيل القيود المالية بدل حذفها حفاظاً على سلامة الدفاتر. </w:t>
      </w:r>
    </w:p>
    <w:p>
      <w:pPr>
        <w:keepNext/>
        <w:pBdr>
          <w:bottom w:val="single" w:sz="12" w:space="3" w:color="14512F"/>
        </w:pBdr>
        <w:bidi w:val="1"/>
        <w:spacing w:before="320" w:after="40"/>
        <w:jc w:val="right"/>
      </w:pPr>
      <w:r>
        <w:rPr>
          <w:rFonts w:ascii="Tajawal" w:hAnsi="Tajawal" w:cs="Tajawal"/>
          <w:b/>
          <w:color w:val="141414"/>
          <w:sz w:val="36"/>
          <w:szCs w:val="36"/>
          <w:rtl w:val="1"/>
        </w:rPr>
        <w:t>٦ محرّك المطابقة وتوزيع الطلبات</w:t>
      </w:r>
    </w:p>
    <w:p>
      <w:pPr>
        <w:bidi w:val="1"/>
        <w:spacing w:after="140" w:line="348" w:lineRule="auto"/>
        <w:jc w:val="right"/>
      </w:pPr>
      <w:r>
        <w:rPr>
          <w:rFonts w:ascii="Tajawal" w:hAnsi="Tajawal" w:cs="Tajawal"/>
          <w:b w:val="0"/>
          <w:color w:val="5F6B65"/>
          <w:sz w:val="22"/>
          <w:szCs w:val="22"/>
          <w:rtl w:val="1"/>
        </w:rPr>
        <w:t xml:space="preserve">نصّت الوثيقة على عشرة معايير لتوزيع الطلب. نُنفّذها كمحرّك تسجيل نقاط أوزانه </w:t>
      </w:r>
      <w:r>
        <w:rPr>
          <w:rFonts w:ascii="Tajawal" w:hAnsi="Tajawal" w:cs="Tajawal"/>
          <w:b/>
          <w:color w:val="5F6B65"/>
          <w:sz w:val="22"/>
          <w:szCs w:val="22"/>
          <w:rtl w:val="1"/>
        </w:rPr>
        <w:t xml:space="preserve">قابلة للضبط من لوحة الإدارة </w:t>
      </w:r>
      <w:r>
        <w:rPr>
          <w:rFonts w:ascii="Tajawal" w:hAnsi="Tajawal" w:cs="Tajawal"/>
          <w:b w:val="0"/>
          <w:color w:val="5F6B65"/>
          <w:sz w:val="22"/>
          <w:szCs w:val="22"/>
          <w:rtl w:val="1"/>
        </w:rPr>
        <w:t xml:space="preserve">، لا مثبّتة في الشيفرة. </w:t>
      </w:r>
    </w:p>
    <w:p>
      <w:pPr>
        <w:keepNext/>
        <w:bidi w:val="1"/>
        <w:spacing w:before="220" w:after="40"/>
        <w:jc w:val="right"/>
      </w:pPr>
      <w:r>
        <w:rPr>
          <w:rFonts w:ascii="Tajawal" w:hAnsi="Tajawal" w:cs="Tajawal"/>
          <w:b/>
          <w:color w:val="1D6B47"/>
          <w:sz w:val="24"/>
          <w:szCs w:val="24"/>
          <w:rtl w:val="1"/>
        </w:rPr>
        <w:t>٦-١ مراحل المحرّك</w:t>
      </w:r>
    </w:p>
    <w:tbl>
      <w:tblPr>
        <w:tblStyle w:val="TableGrid"/>
        <w:bidiVisual w:val="1"/>
        <w:tblW w:type="auto" w:w="0"/>
        <w:jc w:val="right"/>
        <w:tblLook w:firstColumn="1" w:firstRow="1" w:lastColumn="0" w:lastRow="0" w:noHBand="0" w:noVBand="1" w:val="04A0"/>
      </w:tblPr>
      <w:tblGrid>
        <w:gridCol w:w="5040"/>
        <w:gridCol w:w="5040"/>
      </w:tblGrid>
      <w:tr>
        <w:tc>
          <w:tcPr>
            <w:tcW w:type="dxa" w:w="576"/>
          </w:tcPr>
          <w:p>
            <w:pPr>
              <w:bidi w:val="1"/>
              <w:spacing w:before="20" w:after="20"/>
              <w:jc w:val="center"/>
            </w:pPr>
            <w:r/>
            <w:r>
              <w:rPr>
                <w:rFonts w:ascii="Tajawal" w:hAnsi="Tajawal" w:cs="Tajawal"/>
                <w:b/>
                <w:color w:val="14512F"/>
                <w:sz w:val="19"/>
                <w:szCs w:val="19"/>
                <w:rtl w:val="1"/>
              </w:rPr>
              <w:t>١</w:t>
            </w:r>
          </w:p>
        </w:tc>
        <w:tc>
          <w:tcPr>
            <w:tcW w:type="dxa" w:w="5040"/>
          </w:tcPr>
          <w:p>
            <w:pPr>
              <w:bidi w:val="1"/>
              <w:spacing w:after="20"/>
              <w:jc w:val="right"/>
            </w:pPr>
            <w:r/>
            <w:r>
              <w:rPr>
                <w:rFonts w:ascii="Tajawal" w:hAnsi="Tajawal" w:cs="Tajawal"/>
                <w:b/>
                <w:color w:val="141414"/>
                <w:sz w:val="19"/>
                <w:szCs w:val="19"/>
                <w:rtl w:val="1"/>
              </w:rPr>
              <w:t>التصفية الصارمة</w:t>
            </w:r>
          </w:p>
          <w:p>
            <w:pPr>
              <w:bidi w:val="1"/>
              <w:spacing w:after="20"/>
              <w:jc w:val="right"/>
            </w:pPr>
            <w:r>
              <w:rPr>
                <w:rFonts w:ascii="Tajawal" w:hAnsi="Tajawal" w:cs="Tajawal"/>
                <w:b w:val="0"/>
                <w:color w:val="5F6B65"/>
                <w:sz w:val="18"/>
                <w:szCs w:val="18"/>
                <w:rtl w:val="1"/>
              </w:rPr>
              <w:t>تُستبعد نهائياً الحسابات التي لا تحقّق الشروط الإلزامية: اختصاص غير مطابق، أو موقع خارج نصف قطر التغطية، أو حساب غير موثّق أو موقوف، أو خارج ساعات العمل المعلنة، أو حالة استعداد معطّلة. تُنفَّذ كاستعلام PostGIS واحد بفهرس مكاني.</w:t>
            </w:r>
          </w:p>
        </w:tc>
      </w:tr>
      <w:tr>
        <w:tc>
          <w:tcPr>
            <w:tcW w:type="dxa" w:w="576"/>
          </w:tcPr>
          <w:p>
            <w:pPr>
              <w:bidi w:val="1"/>
              <w:spacing w:before="20" w:after="20"/>
              <w:jc w:val="center"/>
            </w:pPr>
            <w:r/>
            <w:r>
              <w:rPr>
                <w:rFonts w:ascii="Tajawal" w:hAnsi="Tajawal" w:cs="Tajawal"/>
                <w:b/>
                <w:color w:val="14512F"/>
                <w:sz w:val="19"/>
                <w:szCs w:val="19"/>
                <w:rtl w:val="1"/>
              </w:rPr>
              <w:t>٢</w:t>
            </w:r>
          </w:p>
        </w:tc>
        <w:tc>
          <w:tcPr>
            <w:tcW w:type="dxa" w:w="5040"/>
          </w:tcPr>
          <w:p>
            <w:pPr>
              <w:bidi w:val="1"/>
              <w:spacing w:after="20"/>
              <w:jc w:val="right"/>
            </w:pPr>
            <w:r/>
            <w:r>
              <w:rPr>
                <w:rFonts w:ascii="Tajawal" w:hAnsi="Tajawal" w:cs="Tajawal"/>
                <w:b/>
                <w:color w:val="141414"/>
                <w:sz w:val="19"/>
                <w:szCs w:val="19"/>
                <w:rtl w:val="1"/>
              </w:rPr>
              <w:t>التسجيل المرجّح</w:t>
            </w:r>
          </w:p>
          <w:p>
            <w:pPr>
              <w:bidi w:val="1"/>
              <w:spacing w:after="20"/>
              <w:jc w:val="right"/>
            </w:pPr>
            <w:r>
              <w:rPr>
                <w:rFonts w:ascii="Tajawal" w:hAnsi="Tajawal" w:cs="Tajawal"/>
                <w:b w:val="0"/>
                <w:color w:val="5F6B65"/>
                <w:sz w:val="18"/>
                <w:szCs w:val="18"/>
                <w:rtl w:val="1"/>
              </w:rPr>
              <w:t>يُحتسب لكل مرشّح باقٍ مجموع نقاط من المعايير المرنة في الجدول أدناه. الأوزان تُضبط من اللوحة وتُختبر قبل اعتمادها.</w:t>
            </w:r>
          </w:p>
        </w:tc>
      </w:tr>
      <w:tr>
        <w:tc>
          <w:tcPr>
            <w:tcW w:type="dxa" w:w="576"/>
          </w:tcPr>
          <w:p>
            <w:pPr>
              <w:bidi w:val="1"/>
              <w:spacing w:before="20" w:after="20"/>
              <w:jc w:val="center"/>
            </w:pPr>
            <w:r/>
            <w:r>
              <w:rPr>
                <w:rFonts w:ascii="Tajawal" w:hAnsi="Tajawal" w:cs="Tajawal"/>
                <w:b/>
                <w:color w:val="14512F"/>
                <w:sz w:val="19"/>
                <w:szCs w:val="19"/>
                <w:rtl w:val="1"/>
              </w:rPr>
              <w:t>٣</w:t>
            </w:r>
          </w:p>
        </w:tc>
        <w:tc>
          <w:tcPr>
            <w:tcW w:type="dxa" w:w="5040"/>
          </w:tcPr>
          <w:p>
            <w:pPr>
              <w:bidi w:val="1"/>
              <w:spacing w:after="20"/>
              <w:jc w:val="right"/>
            </w:pPr>
            <w:r/>
            <w:r>
              <w:rPr>
                <w:rFonts w:ascii="Tajawal" w:hAnsi="Tajawal" w:cs="Tajawal"/>
                <w:b/>
                <w:color w:val="141414"/>
                <w:sz w:val="19"/>
                <w:szCs w:val="19"/>
                <w:rtl w:val="1"/>
              </w:rPr>
              <w:t>الإرسال المتدرّج</w:t>
            </w:r>
          </w:p>
          <w:p>
            <w:pPr>
              <w:bidi w:val="1"/>
              <w:spacing w:after="20"/>
              <w:jc w:val="right"/>
            </w:pPr>
            <w:r>
              <w:rPr>
                <w:rFonts w:ascii="Tajawal" w:hAnsi="Tajawal" w:cs="Tajawal"/>
                <w:b w:val="0"/>
                <w:color w:val="5F6B65"/>
                <w:sz w:val="18"/>
                <w:szCs w:val="18"/>
                <w:rtl w:val="1"/>
              </w:rPr>
              <w:t>يُرسَل الطلب أولاً إلى الشريحة الأعلى تسجيلاً، فإن لم تصل عروض كافية خلال مهلة محدّدة تُوسَّع الدائرة تلقائياً. هذا يمنح الأفضل أداءً أولوية دون أن يبقى طلب العميل بلا عروض.</w:t>
            </w:r>
          </w:p>
        </w:tc>
      </w:tr>
      <w:tr>
        <w:tc>
          <w:tcPr>
            <w:tcW w:type="dxa" w:w="576"/>
          </w:tcPr>
          <w:p>
            <w:pPr>
              <w:bidi w:val="1"/>
              <w:spacing w:before="20" w:after="20"/>
              <w:jc w:val="center"/>
            </w:pPr>
            <w:r/>
            <w:r>
              <w:rPr>
                <w:rFonts w:ascii="Tajawal" w:hAnsi="Tajawal" w:cs="Tajawal"/>
                <w:b/>
                <w:color w:val="14512F"/>
                <w:sz w:val="19"/>
                <w:szCs w:val="19"/>
                <w:rtl w:val="1"/>
              </w:rPr>
              <w:t>٤</w:t>
            </w:r>
          </w:p>
        </w:tc>
        <w:tc>
          <w:tcPr>
            <w:tcW w:type="dxa" w:w="5040"/>
          </w:tcPr>
          <w:p>
            <w:pPr>
              <w:bidi w:val="1"/>
              <w:spacing w:after="20"/>
              <w:jc w:val="right"/>
            </w:pPr>
            <w:r/>
            <w:r>
              <w:rPr>
                <w:rFonts w:ascii="Tajawal" w:hAnsi="Tajawal" w:cs="Tajawal"/>
                <w:b/>
                <w:color w:val="141414"/>
                <w:sz w:val="19"/>
                <w:szCs w:val="19"/>
                <w:rtl w:val="1"/>
              </w:rPr>
              <w:t>التقييد ومنع الإغراق</w:t>
            </w:r>
          </w:p>
          <w:p>
            <w:pPr>
              <w:bidi w:val="1"/>
              <w:spacing w:after="20"/>
              <w:jc w:val="right"/>
            </w:pPr>
            <w:r>
              <w:rPr>
                <w:rFonts w:ascii="Tajawal" w:hAnsi="Tajawal" w:cs="Tajawal"/>
                <w:b w:val="0"/>
                <w:color w:val="5F6B65"/>
                <w:sz w:val="18"/>
                <w:szCs w:val="18"/>
                <w:rtl w:val="1"/>
              </w:rPr>
              <w:t>حدّ أقصى لعدد الطلبات المرسلة لمقدّم الخدمة في الفترة الواحدة، وحدّ أقصى لعدد العروض على الطلب الواحد — حفاظاً على جودة العروض وعلى تجربة العميل.</w:t>
            </w:r>
          </w:p>
        </w:tc>
      </w:tr>
      <w:tr>
        <w:tc>
          <w:tcPr>
            <w:tcW w:type="dxa" w:w="576"/>
          </w:tcPr>
          <w:p>
            <w:pPr>
              <w:bidi w:val="1"/>
              <w:spacing w:before="20" w:after="20"/>
              <w:jc w:val="center"/>
            </w:pPr>
            <w:r/>
            <w:r>
              <w:rPr>
                <w:rFonts w:ascii="Tajawal" w:hAnsi="Tajawal" w:cs="Tajawal"/>
                <w:b/>
                <w:color w:val="14512F"/>
                <w:sz w:val="19"/>
                <w:szCs w:val="19"/>
                <w:rtl w:val="1"/>
              </w:rPr>
              <w:t>٥</w:t>
            </w:r>
          </w:p>
        </w:tc>
        <w:tc>
          <w:tcPr>
            <w:tcW w:type="dxa" w:w="5040"/>
          </w:tcPr>
          <w:p>
            <w:pPr>
              <w:bidi w:val="1"/>
              <w:spacing w:after="20"/>
              <w:jc w:val="right"/>
            </w:pPr>
            <w:r/>
            <w:r>
              <w:rPr>
                <w:rFonts w:ascii="Tajawal" w:hAnsi="Tajawal" w:cs="Tajawal"/>
                <w:b/>
                <w:color w:val="141414"/>
                <w:sz w:val="19"/>
                <w:szCs w:val="19"/>
                <w:rtl w:val="1"/>
              </w:rPr>
              <w:t>التقييد بالتوثيق والاشتراك</w:t>
            </w:r>
          </w:p>
          <w:p>
            <w:pPr>
              <w:bidi w:val="1"/>
              <w:spacing w:after="20"/>
              <w:jc w:val="right"/>
            </w:pPr>
            <w:r>
              <w:rPr>
                <w:rFonts w:ascii="Tajawal" w:hAnsi="Tajawal" w:cs="Tajawal"/>
                <w:b w:val="0"/>
                <w:color w:val="5F6B65"/>
                <w:sz w:val="18"/>
                <w:szCs w:val="18"/>
                <w:rtl w:val="1"/>
              </w:rPr>
              <w:t>مستوى التوثيق وخطّة الاشتراك يؤثّران في الأولوية وفي عدد العروض الشهرية المسموحة، بما يخدم نموذج الإيراد لاحقاً دون تعديل برمجي.</w:t>
            </w:r>
          </w:p>
        </w:tc>
      </w:tr>
    </w:tbl>
    <w:p>
      <w:pPr>
        <w:spacing w:after="60"/>
      </w:pPr>
    </w:p>
    <w:p>
      <w:pPr>
        <w:keepNext/>
        <w:bidi w:val="1"/>
        <w:spacing w:before="220" w:after="40"/>
        <w:jc w:val="right"/>
      </w:pPr>
      <w:r>
        <w:rPr>
          <w:rFonts w:ascii="Tajawal" w:hAnsi="Tajawal" w:cs="Tajawal"/>
          <w:b/>
          <w:color w:val="1D6B47"/>
          <w:sz w:val="24"/>
          <w:szCs w:val="24"/>
          <w:rtl w:val="1"/>
        </w:rPr>
        <w:t>٦-٢ معايير التسجيل والأوزان الافتراضية</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المعيار</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الوزن المبدئي</w:t>
            </w:r>
          </w:p>
        </w:tc>
        <w:tc>
          <w:tcPr>
            <w:tcW w:type="dxa" w:w="3360"/>
            <w:shd w:val="clear" w:color="auto" w:fill="14512F"/>
          </w:tcPr>
          <w:p>
            <w:pPr>
              <w:bidi w:val="1"/>
              <w:spacing w:before="20" w:after="20"/>
              <w:jc w:val="right"/>
            </w:pPr>
            <w:r/>
            <w:r>
              <w:rPr>
                <w:rFonts w:ascii="Tajawal" w:hAnsi="Tajawal" w:cs="Tajawal"/>
                <w:b/>
                <w:color w:val="FFFFFF"/>
                <w:sz w:val="17"/>
                <w:szCs w:val="17"/>
                <w:rtl w:val="1"/>
              </w:rPr>
              <w:t>طريقة الاحتساب</w:t>
            </w:r>
          </w:p>
        </w:tc>
      </w:tr>
      <w:tr>
        <w:tc>
          <w:tcPr>
            <w:tcW w:type="dxa" w:w="3360"/>
          </w:tcPr>
          <w:p>
            <w:pPr>
              <w:bidi w:val="1"/>
              <w:spacing w:before="20" w:after="20"/>
              <w:jc w:val="right"/>
            </w:pPr>
            <w:r/>
            <w:r>
              <w:rPr>
                <w:rFonts w:ascii="Tajawal" w:hAnsi="Tajawal" w:cs="Tajawal"/>
                <w:b w:val="0"/>
                <w:color w:val="333A36"/>
                <w:sz w:val="17"/>
                <w:szCs w:val="17"/>
                <w:rtl w:val="1"/>
              </w:rPr>
              <w:t>القرب الجغرافي</w:t>
            </w:r>
          </w:p>
        </w:tc>
        <w:tc>
          <w:tcPr>
            <w:tcW w:type="dxa" w:w="3360"/>
          </w:tcPr>
          <w:p>
            <w:pPr>
              <w:bidi w:val="1"/>
              <w:spacing w:before="20" w:after="20"/>
              <w:jc w:val="center"/>
            </w:pPr>
            <w:r/>
            <w:r>
              <w:rPr>
                <w:rFonts w:ascii="Tajawal" w:hAnsi="Tajawal" w:cs="Tajawal"/>
                <w:b w:val="0"/>
                <w:color w:val="333A36"/>
                <w:sz w:val="17"/>
                <w:szCs w:val="17"/>
                <w:rtl w:val="1"/>
              </w:rPr>
              <w:t>20%</w:t>
            </w:r>
          </w:p>
        </w:tc>
        <w:tc>
          <w:tcPr>
            <w:tcW w:type="dxa" w:w="3360"/>
          </w:tcPr>
          <w:p>
            <w:pPr>
              <w:bidi w:val="1"/>
              <w:spacing w:before="20" w:after="20"/>
              <w:jc w:val="right"/>
            </w:pPr>
            <w:r/>
            <w:r>
              <w:rPr>
                <w:rFonts w:ascii="Tajawal" w:hAnsi="Tajawal" w:cs="Tajawal"/>
                <w:b w:val="0"/>
                <w:color w:val="333A36"/>
                <w:sz w:val="17"/>
                <w:szCs w:val="17"/>
                <w:rtl w:val="1"/>
              </w:rPr>
              <w:t>تناقص خطّي بالمسافة ضمن نصف قطر التغطية المعلن.</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التقييم العام</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20%</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متوسّط مرجّح يعطي وزناً أكبر للتقييمات الحديثة.</w:t>
            </w:r>
          </w:p>
        </w:tc>
      </w:tr>
      <w:tr>
        <w:tc>
          <w:tcPr>
            <w:tcW w:type="dxa" w:w="3360"/>
          </w:tcPr>
          <w:p>
            <w:pPr>
              <w:bidi w:val="1"/>
              <w:spacing w:before="20" w:after="20"/>
              <w:jc w:val="right"/>
            </w:pPr>
            <w:r/>
            <w:r>
              <w:rPr>
                <w:rFonts w:ascii="Tajawal" w:hAnsi="Tajawal" w:cs="Tajawal"/>
                <w:b w:val="0"/>
                <w:color w:val="333A36"/>
                <w:sz w:val="17"/>
                <w:szCs w:val="17"/>
                <w:rtl w:val="1"/>
              </w:rPr>
              <w:t>سرعة الاستجابة</w:t>
            </w:r>
          </w:p>
        </w:tc>
        <w:tc>
          <w:tcPr>
            <w:tcW w:type="dxa" w:w="3360"/>
          </w:tcPr>
          <w:p>
            <w:pPr>
              <w:bidi w:val="1"/>
              <w:spacing w:before="20" w:after="20"/>
              <w:jc w:val="center"/>
            </w:pPr>
            <w:r/>
            <w:r>
              <w:rPr>
                <w:rFonts w:ascii="Tajawal" w:hAnsi="Tajawal" w:cs="Tajawal"/>
                <w:b w:val="0"/>
                <w:color w:val="333A36"/>
                <w:sz w:val="17"/>
                <w:szCs w:val="17"/>
                <w:rtl w:val="1"/>
              </w:rPr>
              <w:t>15%</w:t>
            </w:r>
          </w:p>
        </w:tc>
        <w:tc>
          <w:tcPr>
            <w:tcW w:type="dxa" w:w="3360"/>
          </w:tcPr>
          <w:p>
            <w:pPr>
              <w:bidi w:val="1"/>
              <w:spacing w:before="20" w:after="20"/>
              <w:jc w:val="right"/>
            </w:pPr>
            <w:r/>
            <w:r>
              <w:rPr>
                <w:rFonts w:ascii="Tajawal" w:hAnsi="Tajawal" w:cs="Tajawal"/>
                <w:b w:val="0"/>
                <w:color w:val="333A36"/>
                <w:sz w:val="17"/>
                <w:szCs w:val="17"/>
                <w:rtl w:val="1"/>
              </w:rPr>
              <w:t>وسيط الزمن بين وصول الطلب وتقديم العرض في آخر ثلاثين يوماً.</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عدد الطلبات المكتملة</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12%</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تدرّج لوغاريتمي يمنع احتكار الحسابات القديمة.</w:t>
            </w:r>
          </w:p>
        </w:tc>
      </w:tr>
      <w:tr>
        <w:tc>
          <w:tcPr>
            <w:tcW w:type="dxa" w:w="3360"/>
          </w:tcPr>
          <w:p>
            <w:pPr>
              <w:bidi w:val="1"/>
              <w:spacing w:before="20" w:after="20"/>
              <w:jc w:val="right"/>
            </w:pPr>
            <w:r/>
            <w:r>
              <w:rPr>
                <w:rFonts w:ascii="Tajawal" w:hAnsi="Tajawal" w:cs="Tajawal"/>
                <w:b w:val="0"/>
                <w:color w:val="333A36"/>
                <w:sz w:val="17"/>
                <w:szCs w:val="17"/>
                <w:rtl w:val="1"/>
              </w:rPr>
              <w:t>مستوى التوثيق</w:t>
            </w:r>
          </w:p>
        </w:tc>
        <w:tc>
          <w:tcPr>
            <w:tcW w:type="dxa" w:w="3360"/>
          </w:tcPr>
          <w:p>
            <w:pPr>
              <w:bidi w:val="1"/>
              <w:spacing w:before="20" w:after="20"/>
              <w:jc w:val="center"/>
            </w:pPr>
            <w:r/>
            <w:r>
              <w:rPr>
                <w:rFonts w:ascii="Tajawal" w:hAnsi="Tajawal" w:cs="Tajawal"/>
                <w:b w:val="0"/>
                <w:color w:val="333A36"/>
                <w:sz w:val="17"/>
                <w:szCs w:val="17"/>
                <w:rtl w:val="1"/>
              </w:rPr>
              <w:t>12%</w:t>
            </w:r>
          </w:p>
        </w:tc>
        <w:tc>
          <w:tcPr>
            <w:tcW w:type="dxa" w:w="3360"/>
          </w:tcPr>
          <w:p>
            <w:pPr>
              <w:bidi w:val="1"/>
              <w:spacing w:before="20" w:after="20"/>
              <w:jc w:val="right"/>
            </w:pPr>
            <w:r/>
            <w:r>
              <w:rPr>
                <w:rFonts w:ascii="Tajawal" w:hAnsi="Tajawal" w:cs="Tajawal"/>
                <w:b w:val="0"/>
                <w:color w:val="333A36"/>
                <w:sz w:val="17"/>
                <w:szCs w:val="17"/>
                <w:rtl w:val="1"/>
              </w:rPr>
              <w:t>مسجَّل ‹ موثَّق ‹ شركة موثّقة.</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نسبة قبول الطلبات</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8%</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المقبول ÷ المُرسَل، بحدّ أدنى من العيّنة.</w:t>
            </w:r>
          </w:p>
        </w:tc>
      </w:tr>
      <w:tr>
        <w:tc>
          <w:tcPr>
            <w:tcW w:type="dxa" w:w="3360"/>
          </w:tcPr>
          <w:p>
            <w:pPr>
              <w:bidi w:val="1"/>
              <w:spacing w:before="20" w:after="20"/>
              <w:jc w:val="right"/>
            </w:pPr>
            <w:r/>
            <w:r>
              <w:rPr>
                <w:rFonts w:ascii="Tajawal" w:hAnsi="Tajawal" w:cs="Tajawal"/>
                <w:b w:val="0"/>
                <w:color w:val="333A36"/>
                <w:sz w:val="17"/>
                <w:szCs w:val="17"/>
                <w:rtl w:val="1"/>
              </w:rPr>
              <w:t>الالتزام بالمواعيد</w:t>
            </w:r>
          </w:p>
        </w:tc>
        <w:tc>
          <w:tcPr>
            <w:tcW w:type="dxa" w:w="3360"/>
          </w:tcPr>
          <w:p>
            <w:pPr>
              <w:bidi w:val="1"/>
              <w:spacing w:before="20" w:after="20"/>
              <w:jc w:val="center"/>
            </w:pPr>
            <w:r/>
            <w:r>
              <w:rPr>
                <w:rFonts w:ascii="Tajawal" w:hAnsi="Tajawal" w:cs="Tajawal"/>
                <w:b w:val="0"/>
                <w:color w:val="333A36"/>
                <w:sz w:val="17"/>
                <w:szCs w:val="17"/>
                <w:rtl w:val="1"/>
              </w:rPr>
              <w:t>7%</w:t>
            </w:r>
          </w:p>
        </w:tc>
        <w:tc>
          <w:tcPr>
            <w:tcW w:type="dxa" w:w="3360"/>
          </w:tcPr>
          <w:p>
            <w:pPr>
              <w:bidi w:val="1"/>
              <w:spacing w:before="20" w:after="20"/>
              <w:jc w:val="right"/>
            </w:pPr>
            <w:r/>
            <w:r>
              <w:rPr>
                <w:rFonts w:ascii="Tajawal" w:hAnsi="Tajawal" w:cs="Tajawal"/>
                <w:b w:val="0"/>
                <w:color w:val="333A36"/>
                <w:sz w:val="17"/>
                <w:szCs w:val="17"/>
                <w:rtl w:val="1"/>
              </w:rPr>
              <w:t>نسبة الوصول ضمن وقت الوصول المعلن.</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التوفّر في الموعد المطلوب</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6%</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تطابق الجدول المعلن مع موعد الخدمة المطلوب.</w:t>
            </w:r>
          </w:p>
        </w:tc>
      </w:tr>
      <w:tr>
        <w:tc>
          <w:tcPr>
            <w:tcW w:type="dxa" w:w="3360"/>
          </w:tcPr>
          <w:p>
            <w:pPr>
              <w:bidi w:val="1"/>
              <w:spacing w:before="20" w:after="20"/>
              <w:jc w:val="right"/>
            </w:pPr>
            <w:r/>
            <w:r>
              <w:rPr>
                <w:rFonts w:ascii="Tajawal" w:hAnsi="Tajawal" w:cs="Tajawal"/>
                <w:b w:val="0"/>
                <w:color w:val="333A36"/>
                <w:sz w:val="17"/>
                <w:szCs w:val="17"/>
                <w:rtl w:val="1"/>
              </w:rPr>
              <w:t>سنوات الخبرة</w:t>
            </w:r>
          </w:p>
        </w:tc>
        <w:tc>
          <w:tcPr>
            <w:tcW w:type="dxa" w:w="3360"/>
          </w:tcPr>
          <w:p>
            <w:pPr>
              <w:bidi w:val="1"/>
              <w:spacing w:before="20" w:after="20"/>
              <w:jc w:val="center"/>
            </w:pPr>
            <w:r/>
            <w:r>
              <w:rPr>
                <w:rFonts w:ascii="Tajawal" w:hAnsi="Tajawal" w:cs="Tajawal"/>
                <w:b w:val="0"/>
                <w:color w:val="333A36"/>
                <w:sz w:val="17"/>
                <w:szCs w:val="17"/>
                <w:rtl w:val="1"/>
              </w:rPr>
              <w:t>6%</w:t>
            </w:r>
          </w:p>
        </w:tc>
        <w:tc>
          <w:tcPr>
            <w:tcW w:type="dxa" w:w="3360"/>
          </w:tcPr>
          <w:p>
            <w:pPr>
              <w:bidi w:val="1"/>
              <w:spacing w:before="20" w:after="20"/>
              <w:jc w:val="right"/>
            </w:pPr>
            <w:r/>
            <w:r>
              <w:rPr>
                <w:rFonts w:ascii="Tajawal" w:hAnsi="Tajawal" w:cs="Tajawal"/>
                <w:b w:val="0"/>
                <w:color w:val="333A36"/>
                <w:sz w:val="17"/>
                <w:szCs w:val="17"/>
                <w:rtl w:val="1"/>
              </w:rPr>
              <w:t>عامل مساعد بسقف محدّد.</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نسبة الإلغاء</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−6%</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عامل خصم على الإلغاء من طرف مقدّم الخدمة.</w:t>
            </w:r>
          </w:p>
        </w:tc>
      </w:tr>
    </w:tbl>
    <w:p>
      <w:pPr>
        <w:spacing w:after="60"/>
      </w:pPr>
    </w:p>
    <w:p>
      <w:pPr>
        <w:bidi w:val="1"/>
        <w:spacing w:after="140" w:line="348" w:lineRule="auto"/>
        <w:jc w:val="right"/>
      </w:pPr>
      <w:r>
        <w:rPr>
          <w:rFonts w:ascii="Tajawal" w:hAnsi="Tajawal" w:cs="Tajawal"/>
          <w:b w:val="0"/>
          <w:color w:val="5F6B65"/>
          <w:sz w:val="17"/>
          <w:szCs w:val="17"/>
          <w:rtl w:val="1"/>
        </w:rPr>
        <w:t xml:space="preserve">الأوزان مبدئية وتُعتمد نهائياً مع الجهة المالكة في مرحلة التحليل، وتبقى قابلة للتعديل من لوحة الإدارة في أي وقت دون إصدار برمجي جديد. </w:t>
      </w:r>
    </w:p>
    <w:tbl>
      <w:tblPr>
        <w:tblStyle w:val="TableGrid"/>
        <w:bidiVisual w:val="1"/>
        <w:tblW w:type="auto" w:w="0"/>
        <w:jc w:val="right"/>
        <w:tblLook w:firstColumn="1" w:firstRow="1" w:lastColumn="0" w:lastRow="0" w:noHBand="0" w:noVBand="1" w:val="04A0"/>
      </w:tblPr>
      <w:tblGrid>
        <w:gridCol w:w="10080"/>
      </w:tblGrid>
      <w:tr>
        <w:tc>
          <w:tcPr>
            <w:tcW w:type="dxa" w:w="10080"/>
            <w:shd w:val="clear" w:color="auto" w:fill="FDF6E6"/>
          </w:tcPr>
          <w:p>
            <w:pPr>
              <w:bidi w:val="1"/>
              <w:spacing w:after="40" w:line="336" w:lineRule="auto"/>
              <w:jc w:val="right"/>
            </w:pPr>
            <w:r/>
            <w:r>
              <w:rPr>
                <w:rFonts w:ascii="Tajawal" w:hAnsi="Tajawal" w:cs="Tajawal"/>
                <w:b/>
                <w:color w:val="14512F"/>
                <w:sz w:val="19"/>
                <w:szCs w:val="19"/>
                <w:rtl w:val="1"/>
              </w:rPr>
              <w:t>مطلب صريح عولج</w:t>
            </w:r>
          </w:p>
          <w:p>
            <w:pPr>
              <w:bidi w:val="1"/>
              <w:spacing w:after="40" w:line="336" w:lineRule="auto"/>
              <w:jc w:val="right"/>
            </w:pPr>
            <w:r>
              <w:rPr>
                <w:rFonts w:ascii="Tajawal" w:hAnsi="Tajawal" w:cs="Tajawal"/>
                <w:b w:val="0"/>
                <w:color w:val="333A36"/>
                <w:sz w:val="18"/>
                <w:szCs w:val="18"/>
                <w:rtl w:val="1"/>
              </w:rPr>
              <w:t xml:space="preserve">نبّهت الوثيقة إلى أن إخضاع كل الطلبات لموافقة يدوية يؤخّر الخدمات العاجلة. لذلك يُنشَر الطلب </w:t>
            </w:r>
            <w:r>
              <w:rPr>
                <w:rFonts w:ascii="Tajawal" w:hAnsi="Tajawal" w:cs="Tajawal"/>
                <w:b/>
                <w:color w:val="333A36"/>
                <w:sz w:val="18"/>
                <w:szCs w:val="18"/>
                <w:rtl w:val="1"/>
              </w:rPr>
              <w:t xml:space="preserve">تلقائياً </w:t>
            </w:r>
            <w:r>
              <w:rPr>
                <w:rFonts w:ascii="Tajawal" w:hAnsi="Tajawal" w:cs="Tajawal"/>
                <w:b w:val="0"/>
                <w:color w:val="333A36"/>
                <w:sz w:val="18"/>
                <w:szCs w:val="18"/>
                <w:rtl w:val="1"/>
              </w:rPr>
              <w:t xml:space="preserve">بعد اجتياز التحقّق الآلي — اكتمال البيانات، وصلاحية الموقع، وفحص المحتوى المخالف، والكلمات المحظورة، وتكرار الطلب، وأهلية الحساب — ولا يُحال إلى المراجعة اليدوية إلا ما تصنّفه القواعد </w:t>
            </w:r>
            <w:r>
              <w:rPr>
                <w:rFonts w:ascii="Tajawal" w:hAnsi="Tajawal" w:cs="Tajawal"/>
                <w:b/>
                <w:color w:val="333A36"/>
                <w:sz w:val="18"/>
                <w:szCs w:val="18"/>
                <w:rtl w:val="1"/>
              </w:rPr>
              <w:t xml:space="preserve">مشبوهاً </w:t>
            </w:r>
            <w:r>
              <w:rPr>
                <w:rFonts w:ascii="Tajawal" w:hAnsi="Tajawal" w:cs="Tajawal"/>
                <w:b w:val="0"/>
                <w:color w:val="333A36"/>
                <w:sz w:val="18"/>
                <w:szCs w:val="18"/>
                <w:rtl w:val="1"/>
              </w:rPr>
              <w:t xml:space="preserve">. </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٧ دورة حياة الطلب ونماذج التسعير</w:t>
      </w:r>
    </w:p>
    <w:p>
      <w:pPr>
        <w:keepNext/>
        <w:bidi w:val="1"/>
        <w:spacing w:before="220" w:after="40"/>
        <w:jc w:val="right"/>
      </w:pPr>
      <w:r>
        <w:rPr>
          <w:rFonts w:ascii="Tajawal" w:hAnsi="Tajawal" w:cs="Tajawal"/>
          <w:b/>
          <w:color w:val="1D6B47"/>
          <w:sz w:val="24"/>
          <w:szCs w:val="24"/>
          <w:rtl w:val="1"/>
        </w:rPr>
        <w:t>٧-١ آلة حالات الطلب</w:t>
      </w:r>
    </w:p>
    <w:p>
      <w:pPr>
        <w:bidi w:val="1"/>
        <w:spacing w:after="100" w:line="348" w:lineRule="auto"/>
        <w:jc w:val="right"/>
      </w:pPr>
      <w:r>
        <w:rPr>
          <w:rFonts w:ascii="Tajawal" w:hAnsi="Tajawal" w:cs="Tajawal"/>
          <w:b w:val="0"/>
          <w:color w:val="333A36"/>
          <w:sz w:val="21"/>
          <w:szCs w:val="21"/>
          <w:rtl w:val="1"/>
        </w:rPr>
        <w:t xml:space="preserve">الحالات الخمس عشرة تُنفَّذ كآلة حالات صريحة: لكل انتقال شرط وفاعل مصرَّح له، ويُسجَّل في </w:t>
      </w:r>
      <w:r>
        <w:rPr>
          <w:rFonts w:ascii="Tajawal" w:hAnsi="Tajawal" w:cs="Tajawal"/>
          <w:b w:val="0"/>
          <w:color w:val="1D6B47"/>
          <w:sz w:val="21"/>
          <w:szCs w:val="21"/>
          <w:rtl w:val="1"/>
        </w:rPr>
        <w:t xml:space="preserve">order_status_history </w:t>
      </w:r>
      <w:r>
        <w:rPr>
          <w:rFonts w:ascii="Tajawal" w:hAnsi="Tajawal" w:cs="Tajawal"/>
          <w:b w:val="0"/>
          <w:color w:val="333A36"/>
          <w:sz w:val="21"/>
          <w:szCs w:val="21"/>
          <w:rtl w:val="1"/>
        </w:rPr>
        <w:t xml:space="preserve">. الانتقالات غير المسموحة مرفوضة على مستوى النظام لا على مستوى الواجهة. </w:t>
      </w:r>
    </w:p>
    <w:p>
      <w:pPr>
        <w:bidi w:val="1"/>
        <w:spacing w:after="120" w:line="360" w:lineRule="auto"/>
        <w:jc w:val="right"/>
      </w:pPr>
      <w:r>
        <w:rPr>
          <w:rFonts w:ascii="Tajawal" w:hAnsi="Tajawal" w:cs="Tajawal"/>
          <w:b w:val="0"/>
          <w:color w:val="1D6B47"/>
          <w:sz w:val="18"/>
          <w:szCs w:val="18"/>
          <w:rtl w:val="1"/>
        </w:rPr>
        <w:t>طلب جديد  ·  بانتظار العروض  ·  تم استلام عروض  ·  تم اختيار مقدّم الخدمة  ·  بانتظار الدفع أو التأكيد  ·  مقدّم الخدمة في الطريق  ·  وصل مقدّم الخدمة  ·  جارٍ التنفيذ  ·  بانتظار موافقة العميل على أعمال إضافية  ·  تم إنجاز الخدمة  ·  بانتظار تأكيد العميل  ·  مكتمل  ·  ملغى  ·  متعثّر  ·  تحت الاعتراض  ·  مسترد كلياً أو جزئياً</w:t>
      </w:r>
    </w:p>
    <w:p>
      <w:pPr>
        <w:keepNext/>
        <w:bidi w:val="1"/>
        <w:spacing w:before="220" w:after="40"/>
        <w:jc w:val="right"/>
      </w:pPr>
      <w:r>
        <w:rPr>
          <w:rFonts w:ascii="Tajawal" w:hAnsi="Tajawal" w:cs="Tajawal"/>
          <w:b/>
          <w:color w:val="1D6B47"/>
          <w:sz w:val="24"/>
          <w:szCs w:val="24"/>
          <w:rtl w:val="1"/>
        </w:rPr>
        <w:t>٧-٢ المراحل السبع لدورة الطلب</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المرحلة</w:t>
            </w:r>
          </w:p>
        </w:tc>
        <w:tc>
          <w:tcPr>
            <w:tcW w:type="dxa" w:w="3360"/>
            <w:shd w:val="clear" w:color="auto" w:fill="14512F"/>
          </w:tcPr>
          <w:p>
            <w:pPr>
              <w:bidi w:val="1"/>
              <w:spacing w:before="20" w:after="20"/>
              <w:jc w:val="right"/>
            </w:pPr>
            <w:r/>
            <w:r>
              <w:rPr>
                <w:rFonts w:ascii="Tajawal" w:hAnsi="Tajawal" w:cs="Tajawal"/>
                <w:b/>
                <w:color w:val="FFFFFF"/>
                <w:sz w:val="17"/>
                <w:szCs w:val="17"/>
                <w:rtl w:val="1"/>
              </w:rPr>
              <w:t>ما ينفّذه النظام</w:t>
            </w:r>
          </w:p>
        </w:tc>
      </w:tr>
      <w:tr>
        <w:tc>
          <w:tcPr>
            <w:tcW w:type="dxa" w:w="3360"/>
          </w:tcPr>
          <w:p>
            <w:pPr>
              <w:bidi w:val="1"/>
              <w:spacing w:before="20" w:after="20"/>
              <w:jc w:val="center"/>
            </w:pPr>
            <w:r/>
            <w:r>
              <w:rPr>
                <w:rFonts w:ascii="Tajawal" w:hAnsi="Tajawal" w:cs="Tajawal"/>
                <w:b w:val="0"/>
                <w:color w:val="333A36"/>
                <w:sz w:val="17"/>
                <w:szCs w:val="17"/>
                <w:rtl w:val="1"/>
              </w:rPr>
              <w:t>١</w:t>
            </w:r>
          </w:p>
        </w:tc>
        <w:tc>
          <w:tcPr>
            <w:tcW w:type="dxa" w:w="3360"/>
          </w:tcPr>
          <w:p>
            <w:pPr>
              <w:bidi w:val="1"/>
              <w:spacing w:before="20" w:after="20"/>
              <w:jc w:val="right"/>
            </w:pPr>
            <w:r/>
            <w:r>
              <w:rPr>
                <w:rFonts w:ascii="Tajawal" w:hAnsi="Tajawal" w:cs="Tajawal"/>
                <w:b w:val="0"/>
                <w:color w:val="333A36"/>
                <w:sz w:val="17"/>
                <w:szCs w:val="17"/>
                <w:rtl w:val="1"/>
              </w:rPr>
              <w:t>إنشاء الطلب</w:t>
            </w:r>
          </w:p>
        </w:tc>
        <w:tc>
          <w:tcPr>
            <w:tcW w:type="dxa" w:w="3360"/>
          </w:tcPr>
          <w:p>
            <w:pPr>
              <w:bidi w:val="1"/>
              <w:spacing w:before="20" w:after="20"/>
              <w:jc w:val="right"/>
            </w:pPr>
            <w:r/>
            <w:r>
              <w:rPr>
                <w:rFonts w:ascii="Tajawal" w:hAnsi="Tajawal" w:cs="Tajawal"/>
                <w:b w:val="0"/>
                <w:color w:val="333A36"/>
                <w:sz w:val="17"/>
                <w:szCs w:val="17"/>
                <w:rtl w:val="1"/>
              </w:rPr>
              <w:t>اختيار التصنيف والخدمة، وعنوان مختصر، وشرح المشكلة، وإرفاق صور وفيديو، وتحديد العنوان والموقع على الخريطة، وموعد الخدمة (الآن / اليوم / موعد لاحق)، ودرجة الاستعجال، وميزانية تقريبية اختيارية، وطريقة الدفع المفضّلة.</w:t>
            </w:r>
          </w:p>
        </w:tc>
      </w:tr>
      <w:tr>
        <w:tc>
          <w:tcPr>
            <w:tcW w:type="dxa" w:w="3360"/>
            <w:shd w:val="clear" w:color="auto" w:fill="F5F8F6"/>
          </w:tcPr>
          <w:p>
            <w:pPr>
              <w:bidi w:val="1"/>
              <w:spacing w:before="20" w:after="20"/>
              <w:jc w:val="center"/>
            </w:pPr>
            <w:r/>
            <w:r>
              <w:rPr>
                <w:rFonts w:ascii="Tajawal" w:hAnsi="Tajawal" w:cs="Tajawal"/>
                <w:b w:val="0"/>
                <w:color w:val="333A36"/>
                <w:sz w:val="17"/>
                <w:szCs w:val="17"/>
                <w:rtl w:val="1"/>
              </w:rPr>
              <w:t>٢</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فحص الطلب</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تحقّق آلي من اكتمال البيانات وصلاحية الموقع ونوع الخدمة والمحتوى المخالف والكلمات المحظورة وتكرار الطلب وأهلية الحساب. النشر تلقائي؛ المشبوه فقط يُحال يدوياً.</w:t>
            </w:r>
          </w:p>
        </w:tc>
      </w:tr>
      <w:tr>
        <w:tc>
          <w:tcPr>
            <w:tcW w:type="dxa" w:w="3360"/>
          </w:tcPr>
          <w:p>
            <w:pPr>
              <w:bidi w:val="1"/>
              <w:spacing w:before="20" w:after="20"/>
              <w:jc w:val="center"/>
            </w:pPr>
            <w:r/>
            <w:r>
              <w:rPr>
                <w:rFonts w:ascii="Tajawal" w:hAnsi="Tajawal" w:cs="Tajawal"/>
                <w:b w:val="0"/>
                <w:color w:val="333A36"/>
                <w:sz w:val="17"/>
                <w:szCs w:val="17"/>
                <w:rtl w:val="1"/>
              </w:rPr>
              <w:t>٣</w:t>
            </w:r>
          </w:p>
        </w:tc>
        <w:tc>
          <w:tcPr>
            <w:tcW w:type="dxa" w:w="3360"/>
          </w:tcPr>
          <w:p>
            <w:pPr>
              <w:bidi w:val="1"/>
              <w:spacing w:before="20" w:after="20"/>
              <w:jc w:val="right"/>
            </w:pPr>
            <w:r/>
            <w:r>
              <w:rPr>
                <w:rFonts w:ascii="Tajawal" w:hAnsi="Tajawal" w:cs="Tajawal"/>
                <w:b w:val="0"/>
                <w:color w:val="333A36"/>
                <w:sz w:val="17"/>
                <w:szCs w:val="17"/>
                <w:rtl w:val="1"/>
              </w:rPr>
              <w:t>التوزيع</w:t>
            </w:r>
          </w:p>
        </w:tc>
        <w:tc>
          <w:tcPr>
            <w:tcW w:type="dxa" w:w="3360"/>
          </w:tcPr>
          <w:p>
            <w:pPr>
              <w:bidi w:val="1"/>
              <w:spacing w:before="20" w:after="20"/>
              <w:jc w:val="right"/>
            </w:pPr>
            <w:r/>
            <w:r>
              <w:rPr>
                <w:rFonts w:ascii="Tajawal" w:hAnsi="Tajawal" w:cs="Tajawal"/>
                <w:b w:val="0"/>
                <w:color w:val="333A36"/>
                <w:sz w:val="17"/>
                <w:szCs w:val="17"/>
                <w:rtl w:val="1"/>
              </w:rPr>
              <w:t>محرّك المطابقة (القسم ٦) يوجّه الطلب على شرائح متدرّجة.</w:t>
            </w:r>
          </w:p>
        </w:tc>
      </w:tr>
      <w:tr>
        <w:tc>
          <w:tcPr>
            <w:tcW w:type="dxa" w:w="3360"/>
            <w:shd w:val="clear" w:color="auto" w:fill="F5F8F6"/>
          </w:tcPr>
          <w:p>
            <w:pPr>
              <w:bidi w:val="1"/>
              <w:spacing w:before="20" w:after="20"/>
              <w:jc w:val="center"/>
            </w:pPr>
            <w:r/>
            <w:r>
              <w:rPr>
                <w:rFonts w:ascii="Tajawal" w:hAnsi="Tajawal" w:cs="Tajawal"/>
                <w:b w:val="0"/>
                <w:color w:val="333A36"/>
                <w:sz w:val="17"/>
                <w:szCs w:val="17"/>
                <w:rtl w:val="1"/>
              </w:rPr>
              <w:t>٤</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العروض</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السعر المقترح، وأجور اليد العاملة، وتكلفة المواد، ومدّة التنفيذ، ووقت الوصول المتوقّع، ومدّة صلاحية العرض، وشروطه، وملاحظات، ومرفقات.</w:t>
            </w:r>
          </w:p>
        </w:tc>
      </w:tr>
      <w:tr>
        <w:tc>
          <w:tcPr>
            <w:tcW w:type="dxa" w:w="3360"/>
          </w:tcPr>
          <w:p>
            <w:pPr>
              <w:bidi w:val="1"/>
              <w:spacing w:before="20" w:after="20"/>
              <w:jc w:val="center"/>
            </w:pPr>
            <w:r/>
            <w:r>
              <w:rPr>
                <w:rFonts w:ascii="Tajawal" w:hAnsi="Tajawal" w:cs="Tajawal"/>
                <w:b w:val="0"/>
                <w:color w:val="333A36"/>
                <w:sz w:val="17"/>
                <w:szCs w:val="17"/>
                <w:rtl w:val="1"/>
              </w:rPr>
              <w:t>٥</w:t>
            </w:r>
          </w:p>
        </w:tc>
        <w:tc>
          <w:tcPr>
            <w:tcW w:type="dxa" w:w="3360"/>
          </w:tcPr>
          <w:p>
            <w:pPr>
              <w:bidi w:val="1"/>
              <w:spacing w:before="20" w:after="20"/>
              <w:jc w:val="right"/>
            </w:pPr>
            <w:r/>
            <w:r>
              <w:rPr>
                <w:rFonts w:ascii="Tajawal" w:hAnsi="Tajawal" w:cs="Tajawal"/>
                <w:b w:val="0"/>
                <w:color w:val="333A36"/>
                <w:sz w:val="17"/>
                <w:szCs w:val="17"/>
                <w:rtl w:val="1"/>
              </w:rPr>
              <w:t>الاختيار</w:t>
            </w:r>
          </w:p>
        </w:tc>
        <w:tc>
          <w:tcPr>
            <w:tcW w:type="dxa" w:w="3360"/>
          </w:tcPr>
          <w:p>
            <w:pPr>
              <w:bidi w:val="1"/>
              <w:spacing w:before="20" w:after="20"/>
              <w:jc w:val="right"/>
            </w:pPr>
            <w:r/>
            <w:r>
              <w:rPr>
                <w:rFonts w:ascii="Tajawal" w:hAnsi="Tajawal" w:cs="Tajawal"/>
                <w:b w:val="0"/>
                <w:color w:val="333A36"/>
                <w:sz w:val="17"/>
                <w:szCs w:val="17"/>
                <w:rtl w:val="1"/>
              </w:rPr>
              <w:t>يقارن العميل العروض: الاسم، والصورة، والتوثيق، والتقييم، وعدد الخدمات، والخبرة، والسعر، ووقت الوصول، ومدّة التنفيذ. بعد الاختيار يُغلق باب العروض، ويُشعَر المختار، ويُبلَّغ الباقون بانتهاء المنافسة.</w:t>
            </w:r>
          </w:p>
        </w:tc>
      </w:tr>
      <w:tr>
        <w:tc>
          <w:tcPr>
            <w:tcW w:type="dxa" w:w="3360"/>
            <w:shd w:val="clear" w:color="auto" w:fill="F5F8F6"/>
          </w:tcPr>
          <w:p>
            <w:pPr>
              <w:bidi w:val="1"/>
              <w:spacing w:before="20" w:after="20"/>
              <w:jc w:val="center"/>
            </w:pPr>
            <w:r/>
            <w:r>
              <w:rPr>
                <w:rFonts w:ascii="Tajawal" w:hAnsi="Tajawal" w:cs="Tajawal"/>
                <w:b w:val="0"/>
                <w:color w:val="333A36"/>
                <w:sz w:val="17"/>
                <w:szCs w:val="17"/>
                <w:rtl w:val="1"/>
              </w:rPr>
              <w:t>٦</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التنفيذ</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تدرّج الحالات، وإضافة أعمال أو مواد إضافية بموافقة مسبقة من العميل، وتحديث الحالة لحظياً على الطرفين.</w:t>
            </w:r>
          </w:p>
        </w:tc>
      </w:tr>
      <w:tr>
        <w:tc>
          <w:tcPr>
            <w:tcW w:type="dxa" w:w="3360"/>
          </w:tcPr>
          <w:p>
            <w:pPr>
              <w:bidi w:val="1"/>
              <w:spacing w:before="20" w:after="20"/>
              <w:jc w:val="center"/>
            </w:pPr>
            <w:r/>
            <w:r>
              <w:rPr>
                <w:rFonts w:ascii="Tajawal" w:hAnsi="Tajawal" w:cs="Tajawal"/>
                <w:b w:val="0"/>
                <w:color w:val="333A36"/>
                <w:sz w:val="17"/>
                <w:szCs w:val="17"/>
                <w:rtl w:val="1"/>
              </w:rPr>
              <w:t>٧</w:t>
            </w:r>
          </w:p>
        </w:tc>
        <w:tc>
          <w:tcPr>
            <w:tcW w:type="dxa" w:w="3360"/>
          </w:tcPr>
          <w:p>
            <w:pPr>
              <w:bidi w:val="1"/>
              <w:spacing w:before="20" w:after="20"/>
              <w:jc w:val="right"/>
            </w:pPr>
            <w:r/>
            <w:r>
              <w:rPr>
                <w:rFonts w:ascii="Tajawal" w:hAnsi="Tajawal" w:cs="Tajawal"/>
                <w:b w:val="0"/>
                <w:color w:val="333A36"/>
                <w:sz w:val="17"/>
                <w:szCs w:val="17"/>
                <w:rtl w:val="1"/>
              </w:rPr>
              <w:t>تأكيد الإنجاز</w:t>
            </w:r>
          </w:p>
        </w:tc>
        <w:tc>
          <w:tcPr>
            <w:tcW w:type="dxa" w:w="3360"/>
          </w:tcPr>
          <w:p>
            <w:pPr>
              <w:bidi w:val="1"/>
              <w:spacing w:before="20" w:after="20"/>
              <w:jc w:val="right"/>
            </w:pPr>
            <w:r/>
            <w:r>
              <w:rPr>
                <w:rFonts w:ascii="Tajawal" w:hAnsi="Tajawal" w:cs="Tajawal"/>
                <w:b w:val="0"/>
                <w:color w:val="333A36"/>
                <w:sz w:val="17"/>
                <w:szCs w:val="17"/>
                <w:rtl w:val="1"/>
              </w:rPr>
              <w:t>يضغط مقدّم الخدمة «تم إنجاز الخدمة» ويرفع صور ما بعد التنفيذ، فيُشعَر العميل ويؤكّد، فتُخصم العمولة ويُحرَّر المستحقّ، ويُطلب التقييم من الطرفين. وعند عدم استجابة العميل خلال مهلة تحدّدها الإدارة يُغلق الطلب تلقائياً بعد مراجعة الحالة.</w:t>
            </w:r>
          </w:p>
        </w:tc>
      </w:tr>
    </w:tbl>
    <w:p>
      <w:pPr>
        <w:spacing w:after="60"/>
      </w:pPr>
    </w:p>
    <w:p>
      <w:pPr>
        <w:keepNext/>
        <w:bidi w:val="1"/>
        <w:spacing w:before="220" w:after="40"/>
        <w:jc w:val="right"/>
      </w:pPr>
      <w:r>
        <w:rPr>
          <w:rFonts w:ascii="Tajawal" w:hAnsi="Tajawal" w:cs="Tajawal"/>
          <w:b/>
          <w:color w:val="1D6B47"/>
          <w:sz w:val="24"/>
          <w:szCs w:val="24"/>
          <w:rtl w:val="1"/>
        </w:rPr>
        <w:t>٧-٣ نماذج التسعير الستة</w:t>
      </w:r>
    </w:p>
    <w:p>
      <w:pPr>
        <w:bidi w:val="1"/>
        <w:spacing w:after="100" w:line="348" w:lineRule="auto"/>
        <w:jc w:val="right"/>
      </w:pPr>
      <w:r>
        <w:rPr>
          <w:rFonts w:ascii="Tajawal" w:hAnsi="Tajawal" w:cs="Tajawal"/>
          <w:b w:val="0"/>
          <w:color w:val="333A36"/>
          <w:sz w:val="21"/>
          <w:szCs w:val="21"/>
          <w:rtl w:val="1"/>
        </w:rPr>
        <w:t xml:space="preserve">نصّت الوثيقة على أن الخدمات لا تُسعَّر بالطريقة نفسها. كل نموذج مُنفَّذ كاستراتيجية مستقلّة تُربط بالخدمة من لوحة الإدارة: </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النموذج</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الاستخدام</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السلوك في النظام</w:t>
            </w:r>
          </w:p>
        </w:tc>
      </w:tr>
      <w:tr>
        <w:tc>
          <w:tcPr>
            <w:tcW w:type="dxa" w:w="3360"/>
          </w:tcPr>
          <w:p>
            <w:pPr>
              <w:bidi w:val="1"/>
              <w:spacing w:before="20" w:after="20"/>
              <w:jc w:val="right"/>
            </w:pPr>
            <w:r/>
            <w:r>
              <w:rPr>
                <w:rFonts w:ascii="Tajawal" w:hAnsi="Tajawal" w:cs="Tajawal"/>
                <w:b w:val="0"/>
                <w:color w:val="333A36"/>
                <w:sz w:val="17"/>
                <w:szCs w:val="17"/>
                <w:rtl w:val="1"/>
              </w:rPr>
              <w:t>سعر ثابت</w:t>
            </w:r>
          </w:p>
        </w:tc>
        <w:tc>
          <w:tcPr>
            <w:tcW w:type="dxa" w:w="3360"/>
          </w:tcPr>
          <w:p>
            <w:pPr>
              <w:bidi w:val="1"/>
              <w:spacing w:before="20" w:after="20"/>
              <w:jc w:val="right"/>
            </w:pPr>
            <w:r/>
            <w:r>
              <w:rPr>
                <w:rFonts w:ascii="Tajawal" w:hAnsi="Tajawal" w:cs="Tajawal"/>
                <w:b w:val="0"/>
                <w:color w:val="333A36"/>
                <w:sz w:val="17"/>
                <w:szCs w:val="17"/>
                <w:rtl w:val="1"/>
              </w:rPr>
              <w:t>نفخ إطار، تبديل إطار، تنظيف مكيّف، تركيب مصباح، غسيل سيارة، زيارة كشف.</w:t>
            </w:r>
          </w:p>
        </w:tc>
        <w:tc>
          <w:tcPr>
            <w:tcW w:type="dxa" w:w="3360"/>
          </w:tcPr>
          <w:p>
            <w:pPr>
              <w:bidi w:val="1"/>
              <w:spacing w:before="20" w:after="20"/>
              <w:jc w:val="right"/>
            </w:pPr>
            <w:r/>
            <w:r>
              <w:rPr>
                <w:rFonts w:ascii="Tajawal" w:hAnsi="Tajawal" w:cs="Tajawal"/>
                <w:b w:val="0"/>
                <w:color w:val="333A36"/>
                <w:sz w:val="17"/>
                <w:szCs w:val="17"/>
                <w:rtl w:val="1"/>
              </w:rPr>
              <w:t>يظهر السعر الأساسي قبل الطلب، ويُتخطّى طور العروض ويُسنَد الطلب مباشرةً.</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عرض سعر</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دهان منزل، نقل أثاث، إصلاح تسرّب، صيانة جهاز، أعمال النجارة والحدادة.</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الدورة الكاملة: تفاصيل وصور ← عروض متنافسة ← اختيار.</w:t>
            </w:r>
          </w:p>
        </w:tc>
      </w:tr>
      <w:tr>
        <w:tc>
          <w:tcPr>
            <w:tcW w:type="dxa" w:w="3360"/>
          </w:tcPr>
          <w:p>
            <w:pPr>
              <w:bidi w:val="1"/>
              <w:spacing w:before="20" w:after="20"/>
              <w:jc w:val="right"/>
            </w:pPr>
            <w:r/>
            <w:r>
              <w:rPr>
                <w:rFonts w:ascii="Tajawal" w:hAnsi="Tajawal" w:cs="Tajawal"/>
                <w:b w:val="0"/>
                <w:color w:val="333A36"/>
                <w:sz w:val="17"/>
                <w:szCs w:val="17"/>
                <w:rtl w:val="1"/>
              </w:rPr>
              <w:t>معاينة</w:t>
            </w:r>
          </w:p>
        </w:tc>
        <w:tc>
          <w:tcPr>
            <w:tcW w:type="dxa" w:w="3360"/>
          </w:tcPr>
          <w:p>
            <w:pPr>
              <w:bidi w:val="1"/>
              <w:spacing w:before="20" w:after="20"/>
              <w:jc w:val="right"/>
            </w:pPr>
            <w:r/>
            <w:r>
              <w:rPr>
                <w:rFonts w:ascii="Tajawal" w:hAnsi="Tajawal" w:cs="Tajawal"/>
                <w:b w:val="0"/>
                <w:color w:val="333A36"/>
                <w:sz w:val="17"/>
                <w:szCs w:val="17"/>
                <w:rtl w:val="1"/>
              </w:rPr>
              <w:t>الأعمال التي لا تُقدَّر عن بُعد.</w:t>
            </w:r>
          </w:p>
        </w:tc>
        <w:tc>
          <w:tcPr>
            <w:tcW w:type="dxa" w:w="3360"/>
          </w:tcPr>
          <w:p>
            <w:pPr>
              <w:bidi w:val="1"/>
              <w:spacing w:before="20" w:after="20"/>
              <w:jc w:val="right"/>
            </w:pPr>
            <w:r/>
            <w:r>
              <w:rPr>
                <w:rFonts w:ascii="Tajawal" w:hAnsi="Tajawal" w:cs="Tajawal"/>
                <w:b w:val="0"/>
                <w:color w:val="333A36"/>
                <w:sz w:val="17"/>
                <w:szCs w:val="17"/>
                <w:rtl w:val="1"/>
              </w:rPr>
              <w:t>سعر زيارة كشف يُدفع أولاً — ويُخصم من قيمة العمل — ثم يُقدَّم السعر النهائي بعد المعاينة ويوافق عليه العميل داخل الطلب نفسه.</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بالساعة</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عمالة بالساعة وأعمال غير محدّدة المدّة.</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الإجمالي = الساعات × عدد العمال × تكلفة الساعة، مع تسجيل وقت البدء والانتهاء.</w:t>
            </w:r>
          </w:p>
        </w:tc>
      </w:tr>
      <w:tr>
        <w:tc>
          <w:tcPr>
            <w:tcW w:type="dxa" w:w="3360"/>
          </w:tcPr>
          <w:p>
            <w:pPr>
              <w:bidi w:val="1"/>
              <w:spacing w:before="20" w:after="20"/>
              <w:jc w:val="right"/>
            </w:pPr>
            <w:r/>
            <w:r>
              <w:rPr>
                <w:rFonts w:ascii="Tajawal" w:hAnsi="Tajawal" w:cs="Tajawal"/>
                <w:b w:val="0"/>
                <w:color w:val="333A36"/>
                <w:sz w:val="17"/>
                <w:szCs w:val="17"/>
                <w:rtl w:val="1"/>
              </w:rPr>
              <w:t>طارئ وفوري</w:t>
            </w:r>
          </w:p>
        </w:tc>
        <w:tc>
          <w:tcPr>
            <w:tcW w:type="dxa" w:w="3360"/>
          </w:tcPr>
          <w:p>
            <w:pPr>
              <w:bidi w:val="1"/>
              <w:spacing w:before="20" w:after="20"/>
              <w:jc w:val="right"/>
            </w:pPr>
            <w:r/>
            <w:r>
              <w:rPr>
                <w:rFonts w:ascii="Tajawal" w:hAnsi="Tajawal" w:cs="Tajawal"/>
                <w:b w:val="0"/>
                <w:color w:val="333A36"/>
                <w:sz w:val="17"/>
                <w:szCs w:val="17"/>
                <w:rtl w:val="1"/>
              </w:rPr>
              <w:t>الأعطال العاجلة.</w:t>
            </w:r>
          </w:p>
        </w:tc>
        <w:tc>
          <w:tcPr>
            <w:tcW w:type="dxa" w:w="3360"/>
          </w:tcPr>
          <w:p>
            <w:pPr>
              <w:bidi w:val="1"/>
              <w:spacing w:before="20" w:after="20"/>
              <w:jc w:val="right"/>
            </w:pPr>
            <w:r/>
            <w:r>
              <w:rPr>
                <w:rFonts w:ascii="Tajawal" w:hAnsi="Tajawal" w:cs="Tajawal"/>
                <w:b w:val="0"/>
                <w:color w:val="333A36"/>
                <w:sz w:val="17"/>
                <w:szCs w:val="17"/>
                <w:rtl w:val="1"/>
              </w:rPr>
              <w:t>إرسال إلى المتاحين حالياً ضمن نطاق ضيّق، مع رسوم استعجال يحدّدها النظام أو مقدّم الخدمة وفق سياسة المنصّة.</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طلب مباشر</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الطلب من صفحة مقدّم خدمة بعينه، أو إعادة طلب سابق.</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يتخطّى التوزيع ويذهب إلى المحدَّد، مع إمكانية تعديل الموعد أو العنوان أو التفاصيل.</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٨ المدفوعات والمحفظة والعمولة</w:t>
      </w:r>
    </w:p>
    <w:tbl>
      <w:tblPr>
        <w:tblStyle w:val="TableGrid"/>
        <w:bidiVisual w:val="1"/>
        <w:tblW w:type="auto" w:w="0"/>
        <w:jc w:val="right"/>
        <w:tblLook w:firstColumn="1" w:firstRow="1" w:lastColumn="0" w:lastRow="0" w:noHBand="0" w:noVBand="1" w:val="04A0"/>
      </w:tblPr>
      <w:tblGrid>
        <w:gridCol w:w="10080"/>
      </w:tblGrid>
      <w:tr>
        <w:tc>
          <w:tcPr>
            <w:tcW w:type="dxa" w:w="10080"/>
            <w:shd w:val="clear" w:color="auto" w:fill="EEF3F0"/>
          </w:tcPr>
          <w:p>
            <w:pPr>
              <w:bidi w:val="1"/>
              <w:spacing w:after="40" w:line="336" w:lineRule="auto"/>
              <w:jc w:val="right"/>
            </w:pPr>
            <w:r/>
            <w:r>
              <w:rPr>
                <w:rFonts w:ascii="Tajawal" w:hAnsi="Tajawal" w:cs="Tajawal"/>
                <w:b/>
                <w:color w:val="14512F"/>
                <w:sz w:val="19"/>
                <w:szCs w:val="19"/>
                <w:rtl w:val="1"/>
              </w:rPr>
              <w:t>المبدأ الحاكم للطبقة المالية</w:t>
            </w:r>
          </w:p>
          <w:p>
            <w:pPr>
              <w:bidi w:val="1"/>
              <w:spacing w:after="40" w:line="336" w:lineRule="auto"/>
              <w:jc w:val="right"/>
            </w:pPr>
            <w:r>
              <w:rPr>
                <w:rFonts w:ascii="Tajawal" w:hAnsi="Tajawal" w:cs="Tajawal"/>
                <w:b w:val="0"/>
                <w:color w:val="333A36"/>
                <w:sz w:val="18"/>
                <w:szCs w:val="18"/>
                <w:rtl w:val="1"/>
              </w:rPr>
              <w:t xml:space="preserve">كل حركة مالية </w:t>
            </w:r>
            <w:r>
              <w:rPr>
                <w:rFonts w:ascii="Tajawal" w:hAnsi="Tajawal" w:cs="Tajawal"/>
                <w:b/>
                <w:color w:val="333A36"/>
                <w:sz w:val="18"/>
                <w:szCs w:val="18"/>
                <w:rtl w:val="1"/>
              </w:rPr>
              <w:t xml:space="preserve">قيد في دفتر أستاذ غير قابل للتعديل </w:t>
            </w:r>
            <w:r>
              <w:rPr>
                <w:rFonts w:ascii="Tajawal" w:hAnsi="Tajawal" w:cs="Tajawal"/>
                <w:b w:val="0"/>
                <w:color w:val="333A36"/>
                <w:sz w:val="18"/>
                <w:szCs w:val="18"/>
                <w:rtl w:val="1"/>
              </w:rPr>
              <w:t xml:space="preserve">. الأرصدة تُحتسب من مجموع القيود ولا تُخزَّن كحقل مفرد، ولا يُعدَّل قيد بعد ترحيله — التصحيح يكون بقيد عكسي. هذا شرط لا غنى عنه لتقارير مالية قابلة للتدقيق ولفضّ النزاعات. </w:t>
            </w:r>
          </w:p>
        </w:tc>
      </w:tr>
    </w:tbl>
    <w:p>
      <w:pPr>
        <w:spacing w:after="60"/>
      </w:pPr>
    </w:p>
    <w:p>
      <w:pPr>
        <w:keepNext/>
        <w:bidi w:val="1"/>
        <w:spacing w:before="220" w:after="40"/>
        <w:jc w:val="right"/>
      </w:pPr>
      <w:r>
        <w:rPr>
          <w:rFonts w:ascii="Tajawal" w:hAnsi="Tajawal" w:cs="Tajawal"/>
          <w:b/>
          <w:color w:val="1D6B47"/>
          <w:sz w:val="24"/>
          <w:szCs w:val="24"/>
          <w:rtl w:val="1"/>
        </w:rPr>
        <w:t>٨-١ طرق الدفع المدعومة</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الطريقة</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المرحلة</w:t>
            </w:r>
          </w:p>
        </w:tc>
        <w:tc>
          <w:tcPr>
            <w:tcW w:type="dxa" w:w="3360"/>
            <w:shd w:val="clear" w:color="auto" w:fill="14512F"/>
          </w:tcPr>
          <w:p>
            <w:pPr>
              <w:bidi w:val="1"/>
              <w:spacing w:before="20" w:after="20"/>
              <w:jc w:val="right"/>
            </w:pPr>
            <w:r/>
            <w:r>
              <w:rPr>
                <w:rFonts w:ascii="Tajawal" w:hAnsi="Tajawal" w:cs="Tajawal"/>
                <w:b/>
                <w:color w:val="FFFFFF"/>
                <w:sz w:val="17"/>
                <w:szCs w:val="17"/>
                <w:rtl w:val="1"/>
              </w:rPr>
              <w:t>ملاحظات</w:t>
            </w:r>
          </w:p>
        </w:tc>
      </w:tr>
      <w:tr>
        <w:tc>
          <w:tcPr>
            <w:tcW w:type="dxa" w:w="3360"/>
          </w:tcPr>
          <w:p>
            <w:pPr>
              <w:bidi w:val="1"/>
              <w:spacing w:before="20" w:after="20"/>
              <w:jc w:val="right"/>
            </w:pPr>
            <w:r/>
            <w:r>
              <w:rPr>
                <w:rFonts w:ascii="Tajawal" w:hAnsi="Tajawal" w:cs="Tajawal"/>
                <w:b w:val="0"/>
                <w:color w:val="333A36"/>
                <w:sz w:val="17"/>
                <w:szCs w:val="17"/>
                <w:rtl w:val="1"/>
              </w:rPr>
              <w:t>الدفع النقدي بعد تنفيذ الخدمة</w:t>
            </w:r>
          </w:p>
        </w:tc>
        <w:tc>
          <w:tcPr>
            <w:tcW w:type="dxa" w:w="3360"/>
          </w:tcPr>
          <w:p>
            <w:pPr>
              <w:bidi w:val="1"/>
              <w:spacing w:before="20" w:after="20"/>
              <w:jc w:val="center"/>
            </w:pPr>
            <w:r/>
            <w:r>
              <w:rPr>
                <w:rFonts w:ascii="Tajawal" w:hAnsi="Tajawal" w:cs="Tajawal"/>
                <w:b w:val="0"/>
                <w:color w:val="333A36"/>
                <w:sz w:val="17"/>
                <w:szCs w:val="17"/>
                <w:rtl w:val="1"/>
              </w:rPr>
              <w:t>المرحلة ١</w:t>
            </w:r>
          </w:p>
        </w:tc>
        <w:tc>
          <w:tcPr>
            <w:tcW w:type="dxa" w:w="3360"/>
          </w:tcPr>
          <w:p>
            <w:pPr>
              <w:bidi w:val="1"/>
              <w:spacing w:before="20" w:after="20"/>
              <w:jc w:val="right"/>
            </w:pPr>
            <w:r/>
            <w:r>
              <w:rPr>
                <w:rFonts w:ascii="Tajawal" w:hAnsi="Tajawal" w:cs="Tajawal"/>
                <w:b w:val="0"/>
                <w:color w:val="333A36"/>
                <w:sz w:val="17"/>
                <w:szCs w:val="17"/>
                <w:rtl w:val="1"/>
              </w:rPr>
              <w:t>تُقيَّد العمولة كدَين على مقدّم الخدمة يُسوَّى من مستحقّاته اللاحقة.</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الدفع الإلكتروني عبر بوّابة واحدة</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المرحلة ١</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البوّابة تُحدَّد مع الجهة المالكة؛ التكامل مسعّر منفصلاً.</w:t>
            </w:r>
          </w:p>
        </w:tc>
      </w:tr>
      <w:tr>
        <w:tc>
          <w:tcPr>
            <w:tcW w:type="dxa" w:w="3360"/>
          </w:tcPr>
          <w:p>
            <w:pPr>
              <w:bidi w:val="1"/>
              <w:spacing w:before="20" w:after="20"/>
              <w:jc w:val="right"/>
            </w:pPr>
            <w:r/>
            <w:r>
              <w:rPr>
                <w:rFonts w:ascii="Tajawal" w:hAnsi="Tajawal" w:cs="Tajawal"/>
                <w:b w:val="0"/>
                <w:color w:val="333A36"/>
                <w:sz w:val="17"/>
                <w:szCs w:val="17"/>
                <w:rtl w:val="1"/>
              </w:rPr>
              <w:t>المحفظة الإلكترونية والرصيد</w:t>
            </w:r>
          </w:p>
        </w:tc>
        <w:tc>
          <w:tcPr>
            <w:tcW w:type="dxa" w:w="3360"/>
          </w:tcPr>
          <w:p>
            <w:pPr>
              <w:bidi w:val="1"/>
              <w:spacing w:before="20" w:after="20"/>
              <w:jc w:val="center"/>
            </w:pPr>
            <w:r/>
            <w:r>
              <w:rPr>
                <w:rFonts w:ascii="Tajawal" w:hAnsi="Tajawal" w:cs="Tajawal"/>
                <w:b w:val="0"/>
                <w:color w:val="333A36"/>
                <w:sz w:val="17"/>
                <w:szCs w:val="17"/>
                <w:rtl w:val="1"/>
              </w:rPr>
              <w:t>المرحلة ٢</w:t>
            </w:r>
          </w:p>
        </w:tc>
        <w:tc>
          <w:tcPr>
            <w:tcW w:type="dxa" w:w="3360"/>
          </w:tcPr>
          <w:p>
            <w:pPr>
              <w:bidi w:val="1"/>
              <w:spacing w:before="20" w:after="20"/>
              <w:jc w:val="right"/>
            </w:pPr>
            <w:r/>
            <w:r>
              <w:rPr>
                <w:rFonts w:ascii="Tajawal" w:hAnsi="Tajawal" w:cs="Tajawal"/>
                <w:b w:val="0"/>
                <w:color w:val="333A36"/>
                <w:sz w:val="17"/>
                <w:szCs w:val="17"/>
                <w:rtl w:val="1"/>
              </w:rPr>
              <w:t>البنية الدفترية جاهزة من المرحلة الأولى؛ يُضاف سطح الاستخدام لاحقاً.</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حجز المبلغ</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المرحلة ٢</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مفصّل في ٨-٢؛ يتطلّب بوّابة تدعم الحجز والتحرير.</w:t>
            </w:r>
          </w:p>
        </w:tc>
      </w:tr>
      <w:tr>
        <w:tc>
          <w:tcPr>
            <w:tcW w:type="dxa" w:w="3360"/>
          </w:tcPr>
          <w:p>
            <w:pPr>
              <w:bidi w:val="1"/>
              <w:spacing w:before="20" w:after="20"/>
              <w:jc w:val="right"/>
            </w:pPr>
            <w:r/>
            <w:r>
              <w:rPr>
                <w:rFonts w:ascii="Tajawal" w:hAnsi="Tajawal" w:cs="Tajawal"/>
                <w:b w:val="0"/>
                <w:color w:val="333A36"/>
                <w:sz w:val="17"/>
                <w:szCs w:val="17"/>
                <w:rtl w:val="1"/>
              </w:rPr>
              <w:t>الدفع الجزئي أو الكامل المسبق</w:t>
            </w:r>
          </w:p>
        </w:tc>
        <w:tc>
          <w:tcPr>
            <w:tcW w:type="dxa" w:w="3360"/>
          </w:tcPr>
          <w:p>
            <w:pPr>
              <w:bidi w:val="1"/>
              <w:spacing w:before="20" w:after="20"/>
              <w:jc w:val="center"/>
            </w:pPr>
            <w:r/>
            <w:r>
              <w:rPr>
                <w:rFonts w:ascii="Tajawal" w:hAnsi="Tajawal" w:cs="Tajawal"/>
                <w:b w:val="0"/>
                <w:color w:val="333A36"/>
                <w:sz w:val="17"/>
                <w:szCs w:val="17"/>
                <w:rtl w:val="1"/>
              </w:rPr>
              <w:t>المرحلة ٢</w:t>
            </w:r>
          </w:p>
        </w:tc>
        <w:tc>
          <w:tcPr>
            <w:tcW w:type="dxa" w:w="3360"/>
          </w:tcPr>
          <w:p>
            <w:pPr>
              <w:bidi w:val="1"/>
              <w:spacing w:before="20" w:after="20"/>
              <w:jc w:val="right"/>
            </w:pPr>
            <w:r/>
            <w:r>
              <w:rPr>
                <w:rFonts w:ascii="Tajawal" w:hAnsi="Tajawal" w:cs="Tajawal"/>
                <w:b w:val="0"/>
                <w:color w:val="333A36"/>
                <w:sz w:val="17"/>
                <w:szCs w:val="17"/>
                <w:rtl w:val="1"/>
              </w:rPr>
              <w:t>مبنيّ على المحفظة والحجز.</w:t>
            </w:r>
          </w:p>
        </w:tc>
      </w:tr>
    </w:tbl>
    <w:p>
      <w:pPr>
        <w:spacing w:after="60"/>
      </w:pPr>
    </w:p>
    <w:p>
      <w:pPr>
        <w:keepNext/>
        <w:bidi w:val="1"/>
        <w:spacing w:before="220" w:after="40"/>
        <w:jc w:val="right"/>
      </w:pPr>
      <w:r>
        <w:rPr>
          <w:rFonts w:ascii="Tajawal" w:hAnsi="Tajawal" w:cs="Tajawal"/>
          <w:b/>
          <w:color w:val="1D6B47"/>
          <w:sz w:val="24"/>
          <w:szCs w:val="24"/>
          <w:rtl w:val="1"/>
        </w:rPr>
        <w:t>٨-٢ دورة حجز المبلغ</w:t>
      </w:r>
    </w:p>
    <w:tbl>
      <w:tblPr>
        <w:tblStyle w:val="TableGrid"/>
        <w:bidiVisual w:val="1"/>
        <w:tblW w:type="auto" w:w="0"/>
        <w:jc w:val="right"/>
        <w:tblLook w:firstColumn="1" w:firstRow="1" w:lastColumn="0" w:lastRow="0" w:noHBand="0" w:noVBand="1" w:val="04A0"/>
      </w:tblPr>
      <w:tblGrid>
        <w:gridCol w:w="5040"/>
        <w:gridCol w:w="5040"/>
      </w:tblGrid>
      <w:tr>
        <w:tc>
          <w:tcPr>
            <w:tcW w:type="dxa" w:w="576"/>
          </w:tcPr>
          <w:p>
            <w:pPr>
              <w:bidi w:val="1"/>
              <w:spacing w:before="20" w:after="20"/>
              <w:jc w:val="center"/>
            </w:pPr>
            <w:r/>
            <w:r>
              <w:rPr>
                <w:rFonts w:ascii="Tajawal" w:hAnsi="Tajawal" w:cs="Tajawal"/>
                <w:b/>
                <w:color w:val="14512F"/>
                <w:sz w:val="19"/>
                <w:szCs w:val="19"/>
                <w:rtl w:val="1"/>
              </w:rPr>
              <w:t>١</w:t>
            </w:r>
          </w:p>
        </w:tc>
        <w:tc>
          <w:tcPr>
            <w:tcW w:type="dxa" w:w="5040"/>
          </w:tcPr>
          <w:p>
            <w:pPr>
              <w:bidi w:val="1"/>
              <w:spacing w:after="20"/>
              <w:jc w:val="right"/>
            </w:pPr>
            <w:r/>
            <w:r>
              <w:rPr>
                <w:rFonts w:ascii="Tajawal" w:hAnsi="Tajawal" w:cs="Tajawal"/>
                <w:b/>
                <w:color w:val="141414"/>
                <w:sz w:val="19"/>
                <w:szCs w:val="19"/>
                <w:rtl w:val="1"/>
              </w:rPr>
              <w:t>الدفع</w:t>
            </w:r>
          </w:p>
          <w:p>
            <w:pPr>
              <w:bidi w:val="1"/>
              <w:spacing w:after="20"/>
              <w:jc w:val="right"/>
            </w:pPr>
            <w:r>
              <w:rPr>
                <w:rFonts w:ascii="Tajawal" w:hAnsi="Tajawal" w:cs="Tajawal"/>
                <w:b w:val="0"/>
                <w:color w:val="5F6B65"/>
                <w:sz w:val="18"/>
                <w:szCs w:val="18"/>
                <w:rtl w:val="1"/>
              </w:rPr>
              <w:t>يدفع العميل قيمة الخدمة إلكترونياً بعد قبول العرض.</w:t>
            </w:r>
          </w:p>
        </w:tc>
      </w:tr>
      <w:tr>
        <w:tc>
          <w:tcPr>
            <w:tcW w:type="dxa" w:w="576"/>
          </w:tcPr>
          <w:p>
            <w:pPr>
              <w:bidi w:val="1"/>
              <w:spacing w:before="20" w:after="20"/>
              <w:jc w:val="center"/>
            </w:pPr>
            <w:r/>
            <w:r>
              <w:rPr>
                <w:rFonts w:ascii="Tajawal" w:hAnsi="Tajawal" w:cs="Tajawal"/>
                <w:b/>
                <w:color w:val="14512F"/>
                <w:sz w:val="19"/>
                <w:szCs w:val="19"/>
                <w:rtl w:val="1"/>
              </w:rPr>
              <w:t>٢</w:t>
            </w:r>
          </w:p>
        </w:tc>
        <w:tc>
          <w:tcPr>
            <w:tcW w:type="dxa" w:w="5040"/>
          </w:tcPr>
          <w:p>
            <w:pPr>
              <w:bidi w:val="1"/>
              <w:spacing w:after="20"/>
              <w:jc w:val="right"/>
            </w:pPr>
            <w:r/>
            <w:r>
              <w:rPr>
                <w:rFonts w:ascii="Tajawal" w:hAnsi="Tajawal" w:cs="Tajawal"/>
                <w:b/>
                <w:color w:val="141414"/>
                <w:sz w:val="19"/>
                <w:szCs w:val="19"/>
                <w:rtl w:val="1"/>
              </w:rPr>
              <w:t>الحجز</w:t>
            </w:r>
          </w:p>
          <w:p>
            <w:pPr>
              <w:bidi w:val="1"/>
              <w:spacing w:after="20"/>
              <w:jc w:val="right"/>
            </w:pPr>
            <w:r>
              <w:rPr>
                <w:rFonts w:ascii="Tajawal" w:hAnsi="Tajawal" w:cs="Tajawal"/>
                <w:b w:val="0"/>
                <w:color w:val="5F6B65"/>
                <w:sz w:val="18"/>
                <w:szCs w:val="18"/>
                <w:rtl w:val="1"/>
              </w:rPr>
              <w:t>يُقيَّد المبلغ في حساب أمانة المنصّة ولا يُحوَّل إلى مقدّم الخدمة، ويظهر لديه كـ«رصيد محجوز».</w:t>
            </w:r>
          </w:p>
        </w:tc>
      </w:tr>
      <w:tr>
        <w:tc>
          <w:tcPr>
            <w:tcW w:type="dxa" w:w="576"/>
          </w:tcPr>
          <w:p>
            <w:pPr>
              <w:bidi w:val="1"/>
              <w:spacing w:before="20" w:after="20"/>
              <w:jc w:val="center"/>
            </w:pPr>
            <w:r/>
            <w:r>
              <w:rPr>
                <w:rFonts w:ascii="Tajawal" w:hAnsi="Tajawal" w:cs="Tajawal"/>
                <w:b/>
                <w:color w:val="14512F"/>
                <w:sz w:val="19"/>
                <w:szCs w:val="19"/>
                <w:rtl w:val="1"/>
              </w:rPr>
              <w:t>٣</w:t>
            </w:r>
          </w:p>
        </w:tc>
        <w:tc>
          <w:tcPr>
            <w:tcW w:type="dxa" w:w="5040"/>
          </w:tcPr>
          <w:p>
            <w:pPr>
              <w:bidi w:val="1"/>
              <w:spacing w:after="20"/>
              <w:jc w:val="right"/>
            </w:pPr>
            <w:r/>
            <w:r>
              <w:rPr>
                <w:rFonts w:ascii="Tajawal" w:hAnsi="Tajawal" w:cs="Tajawal"/>
                <w:b/>
                <w:color w:val="141414"/>
                <w:sz w:val="19"/>
                <w:szCs w:val="19"/>
                <w:rtl w:val="1"/>
              </w:rPr>
              <w:t>التأكيد</w:t>
            </w:r>
          </w:p>
          <w:p>
            <w:pPr>
              <w:bidi w:val="1"/>
              <w:spacing w:after="20"/>
              <w:jc w:val="right"/>
            </w:pPr>
            <w:r>
              <w:rPr>
                <w:rFonts w:ascii="Tajawal" w:hAnsi="Tajawal" w:cs="Tajawal"/>
                <w:b w:val="0"/>
                <w:color w:val="5F6B65"/>
                <w:sz w:val="18"/>
                <w:szCs w:val="18"/>
                <w:rtl w:val="1"/>
              </w:rPr>
              <w:t>يؤكّد العميل إنجاز الخدمة، أو يُغلق الطلب تلقائياً بعد المهلة المحدّدة.</w:t>
            </w:r>
          </w:p>
        </w:tc>
      </w:tr>
      <w:tr>
        <w:tc>
          <w:tcPr>
            <w:tcW w:type="dxa" w:w="576"/>
          </w:tcPr>
          <w:p>
            <w:pPr>
              <w:bidi w:val="1"/>
              <w:spacing w:before="20" w:after="20"/>
              <w:jc w:val="center"/>
            </w:pPr>
            <w:r/>
            <w:r>
              <w:rPr>
                <w:rFonts w:ascii="Tajawal" w:hAnsi="Tajawal" w:cs="Tajawal"/>
                <w:b/>
                <w:color w:val="14512F"/>
                <w:sz w:val="19"/>
                <w:szCs w:val="19"/>
                <w:rtl w:val="1"/>
              </w:rPr>
              <w:t>٤</w:t>
            </w:r>
          </w:p>
        </w:tc>
        <w:tc>
          <w:tcPr>
            <w:tcW w:type="dxa" w:w="5040"/>
          </w:tcPr>
          <w:p>
            <w:pPr>
              <w:bidi w:val="1"/>
              <w:spacing w:after="20"/>
              <w:jc w:val="right"/>
            </w:pPr>
            <w:r/>
            <w:r>
              <w:rPr>
                <w:rFonts w:ascii="Tajawal" w:hAnsi="Tajawal" w:cs="Tajawal"/>
                <w:b/>
                <w:color w:val="141414"/>
                <w:sz w:val="19"/>
                <w:szCs w:val="19"/>
                <w:rtl w:val="1"/>
              </w:rPr>
              <w:t>التسوية</w:t>
            </w:r>
          </w:p>
          <w:p>
            <w:pPr>
              <w:bidi w:val="1"/>
              <w:spacing w:after="20"/>
              <w:jc w:val="right"/>
            </w:pPr>
            <w:r>
              <w:rPr>
                <w:rFonts w:ascii="Tajawal" w:hAnsi="Tajawal" w:cs="Tajawal"/>
                <w:b w:val="0"/>
                <w:color w:val="5F6B65"/>
                <w:sz w:val="18"/>
                <w:szCs w:val="18"/>
                <w:rtl w:val="1"/>
              </w:rPr>
              <w:t>تُخصم عمولة المنصّة بقيد، ويُضاف الصافي إلى الرصيد المتاح لمقدّم الخدمة بقيد مقابل.</w:t>
            </w:r>
          </w:p>
        </w:tc>
      </w:tr>
      <w:tr>
        <w:tc>
          <w:tcPr>
            <w:tcW w:type="dxa" w:w="576"/>
          </w:tcPr>
          <w:p>
            <w:pPr>
              <w:bidi w:val="1"/>
              <w:spacing w:before="20" w:after="20"/>
              <w:jc w:val="center"/>
            </w:pPr>
            <w:r/>
            <w:r>
              <w:rPr>
                <w:rFonts w:ascii="Tajawal" w:hAnsi="Tajawal" w:cs="Tajawal"/>
                <w:b/>
                <w:color w:val="14512F"/>
                <w:sz w:val="19"/>
                <w:szCs w:val="19"/>
                <w:rtl w:val="1"/>
              </w:rPr>
              <w:t>٥</w:t>
            </w:r>
          </w:p>
        </w:tc>
        <w:tc>
          <w:tcPr>
            <w:tcW w:type="dxa" w:w="5040"/>
          </w:tcPr>
          <w:p>
            <w:pPr>
              <w:bidi w:val="1"/>
              <w:spacing w:after="20"/>
              <w:jc w:val="right"/>
            </w:pPr>
            <w:r/>
            <w:r>
              <w:rPr>
                <w:rFonts w:ascii="Tajawal" w:hAnsi="Tajawal" w:cs="Tajawal"/>
                <w:b/>
                <w:color w:val="141414"/>
                <w:sz w:val="19"/>
                <w:szCs w:val="19"/>
                <w:rtl w:val="1"/>
              </w:rPr>
              <w:t>السحب</w:t>
            </w:r>
          </w:p>
          <w:p>
            <w:pPr>
              <w:bidi w:val="1"/>
              <w:spacing w:after="20"/>
              <w:jc w:val="right"/>
            </w:pPr>
            <w:r>
              <w:rPr>
                <w:rFonts w:ascii="Tajawal" w:hAnsi="Tajawal" w:cs="Tajawal"/>
                <w:b w:val="0"/>
                <w:color w:val="5F6B65"/>
                <w:sz w:val="18"/>
                <w:szCs w:val="18"/>
                <w:rtl w:val="1"/>
              </w:rPr>
              <w:t>يطلب مقدّم الخدمة السحب، فتراجعه الإدارة وتُنفَّذ الحوالة وتُقيَّد.</w:t>
            </w:r>
          </w:p>
        </w:tc>
      </w:tr>
    </w:tbl>
    <w:p>
      <w:pPr>
        <w:spacing w:after="60"/>
      </w:pPr>
    </w:p>
    <w:p>
      <w:pPr>
        <w:keepNext/>
        <w:bidi w:val="1"/>
        <w:spacing w:before="220" w:after="40"/>
        <w:jc w:val="right"/>
      </w:pPr>
      <w:r>
        <w:rPr>
          <w:rFonts w:ascii="Tajawal" w:hAnsi="Tajawal" w:cs="Tajawal"/>
          <w:b/>
          <w:color w:val="1D6B47"/>
          <w:sz w:val="24"/>
          <w:szCs w:val="24"/>
          <w:rtl w:val="1"/>
        </w:rPr>
        <w:t>٨-٣ محرّك العمولة</w:t>
      </w:r>
    </w:p>
    <w:p>
      <w:pPr>
        <w:bidi w:val="1"/>
        <w:spacing w:after="100" w:line="348" w:lineRule="auto"/>
        <w:jc w:val="right"/>
      </w:pPr>
      <w:r>
        <w:rPr>
          <w:rFonts w:ascii="Tajawal" w:hAnsi="Tajawal" w:cs="Tajawal"/>
          <w:b w:val="0"/>
          <w:color w:val="333A36"/>
          <w:sz w:val="21"/>
          <w:szCs w:val="21"/>
          <w:rtl w:val="1"/>
        </w:rPr>
        <w:t xml:space="preserve">نصّت الوثيقة صراحةً: </w:t>
      </w:r>
      <w:r>
        <w:rPr>
          <w:rFonts w:ascii="Tajawal" w:hAnsi="Tajawal" w:cs="Tajawal"/>
          <w:b/>
          <w:color w:val="333A36"/>
          <w:sz w:val="21"/>
          <w:szCs w:val="21"/>
          <w:rtl w:val="1"/>
        </w:rPr>
        <w:t xml:space="preserve">لا يجب تثبيت نسبة العمولة برمجياً، بل تُدار من لوحة التحكم </w:t>
      </w:r>
      <w:r>
        <w:rPr>
          <w:rFonts w:ascii="Tajawal" w:hAnsi="Tajawal" w:cs="Tajawal"/>
          <w:b w:val="0"/>
          <w:color w:val="333A36"/>
          <w:sz w:val="21"/>
          <w:szCs w:val="21"/>
          <w:rtl w:val="1"/>
        </w:rPr>
        <w:t xml:space="preserve">. نُنفّذ ذلك كجدول قواعد ذات أولويات، ويُطبَّق أخصّ قاعدة مطابقة: </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بُعد القاعدة</w:t>
            </w:r>
          </w:p>
        </w:tc>
        <w:tc>
          <w:tcPr>
            <w:tcW w:type="dxa" w:w="3360"/>
            <w:shd w:val="clear" w:color="auto" w:fill="14512F"/>
          </w:tcPr>
          <w:p>
            <w:pPr>
              <w:bidi w:val="1"/>
              <w:spacing w:before="20" w:after="20"/>
              <w:jc w:val="right"/>
            </w:pPr>
            <w:r/>
            <w:r>
              <w:rPr>
                <w:rFonts w:ascii="Tajawal" w:hAnsi="Tajawal" w:cs="Tajawal"/>
                <w:b/>
                <w:color w:val="FFFFFF"/>
                <w:sz w:val="17"/>
                <w:szCs w:val="17"/>
                <w:rtl w:val="1"/>
              </w:rPr>
              <w:t>أنواع القيمة</w:t>
            </w:r>
          </w:p>
        </w:tc>
        <w:tc>
          <w:tcPr>
            <w:tcW w:type="dxa" w:w="3360"/>
            <w:shd w:val="clear" w:color="auto" w:fill="14512F"/>
          </w:tcPr>
          <w:p>
            <w:pPr>
              <w:bidi w:val="1"/>
              <w:spacing w:before="20" w:after="20"/>
              <w:jc w:val="right"/>
            </w:pPr>
            <w:r/>
            <w:r>
              <w:rPr>
                <w:rFonts w:ascii="Tajawal" w:hAnsi="Tajawal" w:cs="Tajawal"/>
                <w:b/>
                <w:color w:val="FFFFFF"/>
                <w:sz w:val="17"/>
                <w:szCs w:val="17"/>
                <w:rtl w:val="1"/>
              </w:rPr>
              <w:t>مثال</w:t>
            </w:r>
          </w:p>
        </w:tc>
      </w:tr>
      <w:tr>
        <w:tc>
          <w:tcPr>
            <w:tcW w:type="dxa" w:w="3360"/>
          </w:tcPr>
          <w:p>
            <w:pPr>
              <w:bidi w:val="1"/>
              <w:spacing w:before="20" w:after="20"/>
              <w:jc w:val="right"/>
            </w:pPr>
            <w:r/>
            <w:r>
              <w:rPr>
                <w:rFonts w:ascii="Tajawal" w:hAnsi="Tajawal" w:cs="Tajawal"/>
                <w:b w:val="0"/>
                <w:color w:val="333A36"/>
                <w:sz w:val="17"/>
                <w:szCs w:val="17"/>
                <w:rtl w:val="1"/>
              </w:rPr>
              <w:t>نوع الخدمة</w:t>
            </w:r>
          </w:p>
        </w:tc>
        <w:tc>
          <w:tcPr>
            <w:tcW w:type="dxa" w:w="3360"/>
          </w:tcPr>
          <w:p>
            <w:pPr>
              <w:bidi w:val="1"/>
              <w:spacing w:before="20" w:after="20"/>
              <w:jc w:val="right"/>
            </w:pPr>
            <w:r/>
            <w:r>
              <w:rPr>
                <w:rFonts w:ascii="Tajawal" w:hAnsi="Tajawal" w:cs="Tajawal"/>
                <w:b w:val="0"/>
                <w:color w:val="333A36"/>
                <w:sz w:val="17"/>
                <w:szCs w:val="17"/>
                <w:rtl w:val="1"/>
              </w:rPr>
              <w:t>نسبة مئويةمبلغ ثابتنسبة بحدّ أدنىنسبة بحدّ أعلىنسبة بحدّين</w:t>
            </w:r>
          </w:p>
        </w:tc>
        <w:tc>
          <w:tcPr>
            <w:tcW w:type="dxa" w:w="3360"/>
          </w:tcPr>
          <w:p>
            <w:pPr>
              <w:bidi w:val="1"/>
              <w:spacing w:before="20" w:after="20"/>
              <w:jc w:val="right"/>
            </w:pPr>
            <w:r/>
            <w:r>
              <w:rPr>
                <w:rFonts w:ascii="Tajawal" w:hAnsi="Tajawal" w:cs="Tajawal"/>
                <w:b w:val="0"/>
                <w:color w:val="333A36"/>
                <w:sz w:val="17"/>
                <w:szCs w:val="17"/>
                <w:rtl w:val="1"/>
              </w:rPr>
              <w:t>12% على خدمات التنظيف</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المحافظة</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10% في محافظة قيد الإطلاق</w:t>
            </w:r>
          </w:p>
        </w:tc>
        <w:tc>
          <w:tcPr>
            <w:tcW w:type="dxa" w:w="3360"/>
          </w:tcPr>
          <w:p/>
        </w:tc>
      </w:tr>
      <w:tr>
        <w:tc>
          <w:tcPr>
            <w:tcW w:type="dxa" w:w="3360"/>
          </w:tcPr>
          <w:p>
            <w:pPr>
              <w:bidi w:val="1"/>
              <w:spacing w:before="20" w:after="20"/>
              <w:jc w:val="right"/>
            </w:pPr>
            <w:r/>
            <w:r>
              <w:rPr>
                <w:rFonts w:ascii="Tajawal" w:hAnsi="Tajawal" w:cs="Tajawal"/>
                <w:b w:val="0"/>
                <w:color w:val="333A36"/>
                <w:sz w:val="17"/>
                <w:szCs w:val="17"/>
                <w:rtl w:val="1"/>
              </w:rPr>
              <w:t>مقدّم الخدمة</w:t>
            </w:r>
          </w:p>
        </w:tc>
        <w:tc>
          <w:tcPr>
            <w:tcW w:type="dxa" w:w="3360"/>
          </w:tcPr>
          <w:p>
            <w:pPr>
              <w:bidi w:val="1"/>
              <w:spacing w:before="20" w:after="20"/>
              <w:jc w:val="right"/>
            </w:pPr>
            <w:r/>
            <w:r>
              <w:rPr>
                <w:rFonts w:ascii="Tajawal" w:hAnsi="Tajawal" w:cs="Tajawal"/>
                <w:b w:val="0"/>
                <w:color w:val="333A36"/>
                <w:sz w:val="17"/>
                <w:szCs w:val="17"/>
                <w:rtl w:val="1"/>
              </w:rPr>
              <w:t>8% لحساب مميّز متعاقد</w:t>
            </w:r>
          </w:p>
        </w:tc>
        <w:tc>
          <w:tcPr>
            <w:tcW w:type="dxa" w:w="3360"/>
          </w:tcP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الشركة</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نسبة تفاوضية للشركات</w:t>
            </w:r>
          </w:p>
        </w:tc>
        <w:tc>
          <w:tcPr>
            <w:tcW w:type="dxa" w:w="3360"/>
          </w:tcPr>
          <w:p/>
        </w:tc>
      </w:tr>
      <w:tr>
        <w:tc>
          <w:tcPr>
            <w:tcW w:type="dxa" w:w="3360"/>
          </w:tcPr>
          <w:p>
            <w:pPr>
              <w:bidi w:val="1"/>
              <w:spacing w:before="20" w:after="20"/>
              <w:jc w:val="right"/>
            </w:pPr>
            <w:r/>
            <w:r>
              <w:rPr>
                <w:rFonts w:ascii="Tajawal" w:hAnsi="Tajawal" w:cs="Tajawal"/>
                <w:b w:val="0"/>
                <w:color w:val="333A36"/>
                <w:sz w:val="17"/>
                <w:szCs w:val="17"/>
                <w:rtl w:val="1"/>
              </w:rPr>
              <w:t>خطّة الاشتراك</w:t>
            </w:r>
          </w:p>
        </w:tc>
        <w:tc>
          <w:tcPr>
            <w:tcW w:type="dxa" w:w="3360"/>
          </w:tcPr>
          <w:p>
            <w:pPr>
              <w:bidi w:val="1"/>
              <w:spacing w:before="20" w:after="20"/>
              <w:jc w:val="right"/>
            </w:pPr>
            <w:r/>
            <w:r>
              <w:rPr>
                <w:rFonts w:ascii="Tajawal" w:hAnsi="Tajawal" w:cs="Tajawal"/>
                <w:b w:val="0"/>
                <w:color w:val="333A36"/>
                <w:sz w:val="17"/>
                <w:szCs w:val="17"/>
                <w:rtl w:val="1"/>
              </w:rPr>
              <w:t>عمولة أقل للخطط المدفوعة</w:t>
            </w:r>
          </w:p>
        </w:tc>
        <w:tc>
          <w:tcPr>
            <w:tcW w:type="dxa" w:w="3360"/>
          </w:tcP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العرض الترويجي</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0% لأول ثلاثة طلبات</w:t>
            </w:r>
          </w:p>
        </w:tc>
        <w:tc>
          <w:tcPr>
            <w:tcW w:type="dxa" w:w="3360"/>
          </w:tcPr>
          <w:p/>
        </w:tc>
      </w:tr>
      <w:tr>
        <w:tc>
          <w:tcPr>
            <w:tcW w:type="dxa" w:w="3360"/>
          </w:tcPr>
          <w:p>
            <w:pPr>
              <w:bidi w:val="1"/>
              <w:spacing w:before="20" w:after="20"/>
              <w:jc w:val="right"/>
            </w:pPr>
            <w:r/>
            <w:r>
              <w:rPr>
                <w:rFonts w:ascii="Tajawal" w:hAnsi="Tajawal" w:cs="Tajawal"/>
                <w:b w:val="0"/>
                <w:color w:val="333A36"/>
                <w:sz w:val="17"/>
                <w:szCs w:val="17"/>
                <w:rtl w:val="1"/>
              </w:rPr>
              <w:t>طريقة الدفع</w:t>
            </w:r>
          </w:p>
        </w:tc>
        <w:tc>
          <w:tcPr>
            <w:tcW w:type="dxa" w:w="3360"/>
          </w:tcPr>
          <w:p>
            <w:pPr>
              <w:bidi w:val="1"/>
              <w:spacing w:before="20" w:after="20"/>
              <w:jc w:val="right"/>
            </w:pPr>
            <w:r/>
            <w:r>
              <w:rPr>
                <w:rFonts w:ascii="Tajawal" w:hAnsi="Tajawal" w:cs="Tajawal"/>
                <w:b w:val="0"/>
                <w:color w:val="333A36"/>
                <w:sz w:val="17"/>
                <w:szCs w:val="17"/>
                <w:rtl w:val="1"/>
              </w:rPr>
              <w:t>فرق يعوّض رسوم البوّابة</w:t>
            </w:r>
          </w:p>
        </w:tc>
        <w:tc>
          <w:tcPr>
            <w:tcW w:type="dxa" w:w="3360"/>
          </w:tcPr>
          <w:p/>
        </w:tc>
      </w:tr>
    </w:tbl>
    <w:p>
      <w:pPr>
        <w:spacing w:after="60"/>
      </w:pPr>
    </w:p>
    <w:p>
      <w:pPr>
        <w:keepNext/>
        <w:bidi w:val="1"/>
        <w:spacing w:before="220" w:after="40"/>
        <w:jc w:val="right"/>
      </w:pPr>
      <w:r>
        <w:rPr>
          <w:rFonts w:ascii="Tajawal" w:hAnsi="Tajawal" w:cs="Tajawal"/>
          <w:b/>
          <w:color w:val="1D6B47"/>
          <w:sz w:val="24"/>
          <w:szCs w:val="24"/>
          <w:rtl w:val="1"/>
        </w:rPr>
        <w:t>٨-٤ التكاليف الإضافية أثناء التنفيذ</w:t>
      </w:r>
    </w:p>
    <w:p>
      <w:pPr>
        <w:bidi w:val="1"/>
        <w:spacing w:after="100" w:line="348" w:lineRule="auto"/>
        <w:jc w:val="right"/>
      </w:pPr>
      <w:r>
        <w:rPr>
          <w:rFonts w:ascii="Tajawal" w:hAnsi="Tajawal" w:cs="Tajawal"/>
          <w:b w:val="0"/>
          <w:color w:val="333A36"/>
          <w:sz w:val="21"/>
          <w:szCs w:val="21"/>
          <w:rtl w:val="1"/>
        </w:rPr>
        <w:t xml:space="preserve">لا يبدأ أي عمل إضافي إلا بموافقة صريحة من العميل. ينتقل الطلب إلى حالة </w:t>
      </w:r>
      <w:r>
        <w:rPr>
          <w:rFonts w:ascii="Tajawal" w:hAnsi="Tajawal" w:cs="Tajawal"/>
          <w:b w:val="0"/>
          <w:color w:val="1D6B47"/>
          <w:sz w:val="21"/>
          <w:szCs w:val="21"/>
          <w:rtl w:val="1"/>
        </w:rPr>
        <w:t xml:space="preserve">«بانتظار موافقة العميل على أعمال إضافية» </w:t>
      </w:r>
      <w:r>
        <w:rPr>
          <w:rFonts w:ascii="Tajawal" w:hAnsi="Tajawal" w:cs="Tajawal"/>
          <w:b w:val="0"/>
          <w:color w:val="333A36"/>
          <w:sz w:val="21"/>
          <w:szCs w:val="21"/>
          <w:rtl w:val="1"/>
        </w:rPr>
        <w:t xml:space="preserve">ويتوقّف احتساب أي زيادة حتى الموافقة. يضيف مقدّم الخدمة بنداً بسببه وقيمته، فيصل إشعار للعميل، وعند الموافقة تُضاف القيمة إلى إجمالي الطلب وتُعاد العمولة احتساباً على الإجمالي الجديد. </w:t>
      </w:r>
    </w:p>
    <w:p>
      <w:pPr>
        <w:keepNext/>
        <w:bidi w:val="1"/>
        <w:spacing w:before="220" w:after="40"/>
        <w:jc w:val="right"/>
      </w:pPr>
      <w:r>
        <w:rPr>
          <w:rFonts w:ascii="Tajawal" w:hAnsi="Tajawal" w:cs="Tajawal"/>
          <w:b/>
          <w:color w:val="1D6B47"/>
          <w:sz w:val="24"/>
          <w:szCs w:val="24"/>
          <w:rtl w:val="1"/>
        </w:rPr>
        <w:t>٨-٥ الفاتورة الإلكترونية</w:t>
      </w:r>
    </w:p>
    <w:p>
      <w:pPr>
        <w:bidi w:val="1"/>
        <w:spacing w:after="120" w:line="360" w:lineRule="auto"/>
        <w:jc w:val="right"/>
      </w:pPr>
      <w:r>
        <w:rPr>
          <w:rFonts w:ascii="Tajawal" w:hAnsi="Tajawal" w:cs="Tajawal"/>
          <w:b w:val="0"/>
          <w:color w:val="1D6B47"/>
          <w:sz w:val="18"/>
          <w:szCs w:val="18"/>
          <w:rtl w:val="1"/>
        </w:rPr>
        <w:t>رقم الطلب  ·  بيانات العميل  ·  بيانات مقدّم الخدمة  ·  وصف الخدمة  ·  السعر الأساسي  ·  المواد  ·  الإضافات  ·  الخصومات  ·  العمولة  ·  الضرائب والرسوم  ·  طريقة الدفع  ·  حالة الدفع</w:t>
      </w:r>
    </w:p>
    <w:p>
      <w:pPr>
        <w:keepNext/>
        <w:bidi w:val="1"/>
        <w:spacing w:before="220" w:after="40"/>
        <w:jc w:val="right"/>
      </w:pPr>
      <w:r>
        <w:rPr>
          <w:rFonts w:ascii="Tajawal" w:hAnsi="Tajawal" w:cs="Tajawal"/>
          <w:b/>
          <w:color w:val="1D6B47"/>
          <w:sz w:val="24"/>
          <w:szCs w:val="24"/>
          <w:rtl w:val="1"/>
        </w:rPr>
        <w:t>٨-٦ الإلغاء والاسترداد</w:t>
      </w:r>
    </w:p>
    <w:p>
      <w:pPr>
        <w:bidi w:val="1"/>
        <w:spacing w:after="100" w:line="348" w:lineRule="auto"/>
        <w:jc w:val="right"/>
      </w:pPr>
      <w:r>
        <w:rPr>
          <w:rFonts w:ascii="Tajawal" w:hAnsi="Tajawal" w:cs="Tajawal"/>
          <w:b w:val="0"/>
          <w:color w:val="333A36"/>
          <w:sz w:val="21"/>
          <w:szCs w:val="21"/>
          <w:rtl w:val="1"/>
        </w:rPr>
        <w:t xml:space="preserve">سياسة الإلغاء </w:t>
      </w:r>
      <w:r>
        <w:rPr>
          <w:rFonts w:ascii="Tajawal" w:hAnsi="Tajawal" w:cs="Tajawal"/>
          <w:b/>
          <w:color w:val="333A36"/>
          <w:sz w:val="21"/>
          <w:szCs w:val="21"/>
          <w:rtl w:val="1"/>
        </w:rPr>
        <w:t xml:space="preserve">مصفوفة قابلة للإدارة </w:t>
      </w:r>
      <w:r>
        <w:rPr>
          <w:rFonts w:ascii="Tajawal" w:hAnsi="Tajawal" w:cs="Tajawal"/>
          <w:b w:val="0"/>
          <w:color w:val="333A36"/>
          <w:sz w:val="21"/>
          <w:szCs w:val="21"/>
          <w:rtl w:val="1"/>
        </w:rPr>
        <w:t xml:space="preserve">: لكل حالة إلغاء ولكل نوع خدمة تُحدَّد النتيجة المالية من اللوحة. </w:t>
      </w:r>
    </w:p>
    <w:tbl>
      <w:tblPr>
        <w:tblStyle w:val="TableGrid"/>
        <w:bidiVisual w:val="1"/>
        <w:tblW w:type="auto" w:w="0"/>
        <w:jc w:val="right"/>
        <w:tblLook w:firstColumn="1" w:firstRow="1" w:lastColumn="0" w:lastRow="0" w:noHBand="0" w:noVBand="1" w:val="04A0"/>
      </w:tblPr>
      <w:tblGrid>
        <w:gridCol w:w="5040"/>
        <w:gridCol w:w="5040"/>
      </w:tblGrid>
      <w:tr>
        <w:tc>
          <w:tcPr>
            <w:tcW w:type="dxa" w:w="5040"/>
            <w:shd w:val="clear" w:color="auto" w:fill="14512F"/>
          </w:tcPr>
          <w:p>
            <w:pPr>
              <w:bidi w:val="1"/>
              <w:spacing w:before="20" w:after="20"/>
              <w:jc w:val="right"/>
            </w:pPr>
            <w:r/>
            <w:r>
              <w:rPr>
                <w:rFonts w:ascii="Tajawal" w:hAnsi="Tajawal" w:cs="Tajawal"/>
                <w:b/>
                <w:color w:val="FFFFFF"/>
                <w:sz w:val="17"/>
                <w:szCs w:val="17"/>
                <w:rtl w:val="1"/>
              </w:rPr>
              <w:t>حالة الإلغاء</w:t>
            </w:r>
          </w:p>
        </w:tc>
        <w:tc>
          <w:tcPr>
            <w:tcW w:type="dxa" w:w="5040"/>
            <w:shd w:val="clear" w:color="auto" w:fill="14512F"/>
          </w:tcPr>
          <w:p>
            <w:pPr>
              <w:bidi w:val="1"/>
              <w:spacing w:before="20" w:after="20"/>
              <w:jc w:val="right"/>
            </w:pPr>
            <w:r/>
            <w:r>
              <w:rPr>
                <w:rFonts w:ascii="Tajawal" w:hAnsi="Tajawal" w:cs="Tajawal"/>
                <w:b/>
                <w:color w:val="FFFFFF"/>
                <w:sz w:val="17"/>
                <w:szCs w:val="17"/>
                <w:rtl w:val="1"/>
              </w:rPr>
              <w:t>النتائج الممكنة القابلة للضبط</w:t>
            </w:r>
          </w:p>
        </w:tc>
      </w:tr>
      <w:tr>
        <w:tc>
          <w:tcPr>
            <w:tcW w:type="dxa" w:w="5040"/>
          </w:tcPr>
          <w:p>
            <w:pPr>
              <w:bidi w:val="1"/>
              <w:spacing w:before="20" w:after="20"/>
              <w:jc w:val="right"/>
            </w:pPr>
            <w:r/>
            <w:r>
              <w:rPr>
                <w:rFonts w:ascii="Tajawal" w:hAnsi="Tajawal" w:cs="Tajawal"/>
                <w:b w:val="0"/>
                <w:color w:val="333A36"/>
                <w:sz w:val="17"/>
                <w:szCs w:val="17"/>
                <w:rtl w:val="1"/>
              </w:rPr>
              <w:t>قبل قبول أي عرض</w:t>
            </w:r>
          </w:p>
        </w:tc>
        <w:tc>
          <w:tcPr>
            <w:tcW w:type="dxa" w:w="5040"/>
          </w:tcPr>
          <w:p>
            <w:pPr>
              <w:bidi w:val="1"/>
              <w:spacing w:before="20" w:after="20"/>
              <w:jc w:val="right"/>
            </w:pPr>
            <w:r/>
            <w:r>
              <w:rPr>
                <w:rFonts w:ascii="Tajawal" w:hAnsi="Tajawal" w:cs="Tajawal"/>
                <w:b w:val="0"/>
                <w:color w:val="333A36"/>
                <w:sz w:val="17"/>
                <w:szCs w:val="17"/>
                <w:rtl w:val="1"/>
              </w:rPr>
              <w:t>رسوم إلغاء · تعويض زيارة · خصم جزئي · استرداد كامل · استرداد جزئي — تحدّد الإدارة القاعدة لكل تقاطع بين الحالة ونوع الخدمة.</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بعد قبول العرض</w:t>
            </w:r>
          </w:p>
        </w:tc>
        <w:tc>
          <w:tcPr>
            <w:tcW w:type="dxa" w:w="5040"/>
          </w:tcPr>
          <w:p/>
        </w:tc>
      </w:tr>
      <w:tr>
        <w:tc>
          <w:tcPr>
            <w:tcW w:type="dxa" w:w="5040"/>
          </w:tcPr>
          <w:p>
            <w:pPr>
              <w:bidi w:val="1"/>
              <w:spacing w:before="20" w:after="20"/>
              <w:jc w:val="right"/>
            </w:pPr>
            <w:r/>
            <w:r>
              <w:rPr>
                <w:rFonts w:ascii="Tajawal" w:hAnsi="Tajawal" w:cs="Tajawal"/>
                <w:b w:val="0"/>
                <w:color w:val="333A36"/>
                <w:sz w:val="17"/>
                <w:szCs w:val="17"/>
                <w:rtl w:val="1"/>
              </w:rPr>
              <w:t>قبل تحرّك مقدّم الخدمة</w:t>
            </w:r>
          </w:p>
        </w:tc>
        <w:tc>
          <w:tcPr>
            <w:tcW w:type="dxa" w:w="5040"/>
          </w:tcP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بعد تحرّك مقدّم الخدمة</w:t>
            </w:r>
          </w:p>
        </w:tc>
        <w:tc>
          <w:tcPr>
            <w:tcW w:type="dxa" w:w="5040"/>
          </w:tcPr>
          <w:p/>
        </w:tc>
      </w:tr>
      <w:tr>
        <w:tc>
          <w:tcPr>
            <w:tcW w:type="dxa" w:w="5040"/>
          </w:tcPr>
          <w:p>
            <w:pPr>
              <w:bidi w:val="1"/>
              <w:spacing w:before="20" w:after="20"/>
              <w:jc w:val="right"/>
            </w:pPr>
            <w:r/>
            <w:r>
              <w:rPr>
                <w:rFonts w:ascii="Tajawal" w:hAnsi="Tajawal" w:cs="Tajawal"/>
                <w:b w:val="0"/>
                <w:color w:val="333A36"/>
                <w:sz w:val="17"/>
                <w:szCs w:val="17"/>
                <w:rtl w:val="1"/>
              </w:rPr>
              <w:t>بعد الوصول</w:t>
            </w:r>
          </w:p>
        </w:tc>
        <w:tc>
          <w:tcPr>
            <w:tcW w:type="dxa" w:w="5040"/>
          </w:tcP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أثناء التنفيذ</w:t>
            </w:r>
          </w:p>
        </w:tc>
        <w:tc>
          <w:tcPr>
            <w:tcW w:type="dxa" w:w="5040"/>
          </w:tcPr>
          <w:p/>
        </w:tc>
      </w:tr>
      <w:tr>
        <w:tc>
          <w:tcPr>
            <w:tcW w:type="dxa" w:w="5040"/>
          </w:tcPr>
          <w:p>
            <w:pPr>
              <w:bidi w:val="1"/>
              <w:spacing w:before="20" w:after="20"/>
              <w:jc w:val="right"/>
            </w:pPr>
            <w:r/>
            <w:r>
              <w:rPr>
                <w:rFonts w:ascii="Tajawal" w:hAnsi="Tajawal" w:cs="Tajawal"/>
                <w:b w:val="0"/>
                <w:color w:val="333A36"/>
                <w:sz w:val="17"/>
                <w:szCs w:val="17"/>
                <w:rtl w:val="1"/>
              </w:rPr>
              <w:t>عدم حضور العميل</w:t>
            </w:r>
          </w:p>
        </w:tc>
        <w:tc>
          <w:tcPr>
            <w:tcW w:type="dxa" w:w="5040"/>
          </w:tcP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عدم حضور مقدّم الخدمة</w:t>
            </w:r>
          </w:p>
        </w:tc>
        <w:tc>
          <w:tcPr>
            <w:tcW w:type="dxa" w:w="5040"/>
          </w:tcP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٩ المحادثات الداخلية والإشعارات</w:t>
      </w:r>
    </w:p>
    <w:p>
      <w:pPr>
        <w:keepNext/>
        <w:bidi w:val="1"/>
        <w:spacing w:before="220" w:after="40"/>
        <w:jc w:val="right"/>
      </w:pPr>
      <w:r>
        <w:rPr>
          <w:rFonts w:ascii="Tajawal" w:hAnsi="Tajawal" w:cs="Tajawal"/>
          <w:b/>
          <w:color w:val="1D6B47"/>
          <w:sz w:val="24"/>
          <w:szCs w:val="24"/>
          <w:rtl w:val="1"/>
        </w:rPr>
        <w:t>٩-١ المحادثة داخل التطبيق</w:t>
      </w:r>
    </w:p>
    <w:tbl>
      <w:tblPr>
        <w:tblStyle w:val="TableGrid"/>
        <w:bidiVisual w:val="1"/>
        <w:tblW w:type="auto" w:w="0"/>
        <w:jc w:val="right"/>
        <w:tblLook w:firstColumn="1" w:firstRow="1" w:lastColumn="0" w:lastRow="0" w:noHBand="0" w:noVBand="1" w:val="04A0"/>
      </w:tblPr>
      <w:tblGrid>
        <w:gridCol w:w="5040"/>
        <w:gridCol w:w="5040"/>
      </w:tblGrid>
      <w:tr>
        <w:tc>
          <w:tcPr>
            <w:tcW w:type="dxa" w:w="5040"/>
            <w:shd w:val="clear" w:color="auto" w:fill="F5F8F6"/>
          </w:tcPr>
          <w:p>
            <w:pPr>
              <w:bidi w:val="1"/>
              <w:spacing w:after="20"/>
              <w:jc w:val="right"/>
            </w:pPr>
            <w:r/>
            <w:r>
              <w:rPr>
                <w:rFonts w:ascii="Tajawal" w:hAnsi="Tajawal" w:cs="Tajawal"/>
                <w:b/>
                <w:color w:val="14512F"/>
                <w:sz w:val="18"/>
                <w:szCs w:val="18"/>
                <w:rtl w:val="1"/>
              </w:rPr>
              <w:t>القدرات</w:t>
            </w:r>
          </w:p>
          <w:p>
            <w:pPr>
              <w:bidi w:val="1"/>
              <w:spacing w:after="10"/>
              <w:jc w:val="right"/>
            </w:pPr>
            <w:r>
              <w:rPr>
                <w:rFonts w:ascii="Tajawal" w:hAnsi="Tajawal" w:cs="Tajawal"/>
                <w:b w:val="0"/>
                <w:color w:val="333A36"/>
                <w:sz w:val="17"/>
                <w:szCs w:val="17"/>
                <w:rtl w:val="1"/>
              </w:rPr>
              <w:t>• رسائل نصّية فورية عبر WebSocket</w:t>
            </w:r>
          </w:p>
          <w:p>
            <w:pPr>
              <w:bidi w:val="1"/>
              <w:spacing w:after="10"/>
              <w:jc w:val="right"/>
            </w:pPr>
            <w:r>
              <w:rPr>
                <w:rFonts w:ascii="Tajawal" w:hAnsi="Tajawal" w:cs="Tajawal"/>
                <w:b w:val="0"/>
                <w:color w:val="333A36"/>
                <w:sz w:val="17"/>
                <w:szCs w:val="17"/>
                <w:rtl w:val="1"/>
              </w:rPr>
              <w:t>• إرسال صور ومواقع</w:t>
            </w:r>
          </w:p>
          <w:p>
            <w:pPr>
              <w:bidi w:val="1"/>
              <w:spacing w:after="10"/>
              <w:jc w:val="right"/>
            </w:pPr>
            <w:r>
              <w:rPr>
                <w:rFonts w:ascii="Tajawal" w:hAnsi="Tajawal" w:cs="Tajawal"/>
                <w:b w:val="0"/>
                <w:color w:val="333A36"/>
                <w:sz w:val="17"/>
                <w:szCs w:val="17"/>
                <w:rtl w:val="1"/>
              </w:rPr>
              <w:t>• تسجيل صوتي — اختياري وفق الاعتماد</w:t>
            </w:r>
          </w:p>
          <w:p>
            <w:pPr>
              <w:bidi w:val="1"/>
              <w:spacing w:after="10"/>
              <w:jc w:val="right"/>
            </w:pPr>
            <w:r>
              <w:rPr>
                <w:rFonts w:ascii="Tajawal" w:hAnsi="Tajawal" w:cs="Tajawal"/>
                <w:b w:val="0"/>
                <w:color w:val="333A36"/>
                <w:sz w:val="17"/>
                <w:szCs w:val="17"/>
                <w:rtl w:val="1"/>
              </w:rPr>
              <w:t>• إرسال عرض سعر محدَّث داخل المحادثة</w:t>
            </w:r>
          </w:p>
          <w:p>
            <w:pPr>
              <w:bidi w:val="1"/>
              <w:spacing w:after="10"/>
              <w:jc w:val="right"/>
            </w:pPr>
            <w:r>
              <w:rPr>
                <w:rFonts w:ascii="Tajawal" w:hAnsi="Tajawal" w:cs="Tajawal"/>
                <w:b w:val="0"/>
                <w:color w:val="333A36"/>
                <w:sz w:val="17"/>
                <w:szCs w:val="17"/>
                <w:rtl w:val="1"/>
              </w:rPr>
              <w:t>• إشعار بوصول الرسائل وحالة القراءة</w:t>
            </w:r>
          </w:p>
          <w:p>
            <w:pPr>
              <w:bidi w:val="1"/>
              <w:spacing w:after="10"/>
              <w:jc w:val="right"/>
            </w:pPr>
            <w:r>
              <w:rPr>
                <w:rFonts w:ascii="Tajawal" w:hAnsi="Tajawal" w:cs="Tajawal"/>
                <w:b w:val="0"/>
                <w:color w:val="333A36"/>
                <w:sz w:val="17"/>
                <w:szCs w:val="17"/>
                <w:rtl w:val="1"/>
              </w:rPr>
              <w:t>• حفظ المحادثة مرتبطةً بالطلب</w:t>
            </w:r>
          </w:p>
        </w:tc>
        <w:tc>
          <w:tcPr>
            <w:tcW w:type="dxa" w:w="5040"/>
            <w:shd w:val="clear" w:color="auto" w:fill="F5F8F6"/>
          </w:tcPr>
          <w:p>
            <w:pPr>
              <w:bidi w:val="1"/>
              <w:spacing w:after="20"/>
              <w:jc w:val="right"/>
            </w:pPr>
            <w:r/>
            <w:r>
              <w:rPr>
                <w:rFonts w:ascii="Tajawal" w:hAnsi="Tajawal" w:cs="Tajawal"/>
                <w:b/>
                <w:color w:val="14512F"/>
                <w:sz w:val="18"/>
                <w:szCs w:val="18"/>
                <w:rtl w:val="1"/>
              </w:rPr>
              <w:t>الضوابط المطلوبة</w:t>
            </w:r>
          </w:p>
          <w:p>
            <w:pPr>
              <w:bidi w:val="1"/>
              <w:spacing w:after="10"/>
              <w:jc w:val="right"/>
            </w:pPr>
            <w:r>
              <w:rPr>
                <w:rFonts w:ascii="Tajawal" w:hAnsi="Tajawal" w:cs="Tajawal"/>
                <w:b w:val="0"/>
                <w:color w:val="333A36"/>
                <w:sz w:val="17"/>
                <w:szCs w:val="17"/>
                <w:rtl w:val="1"/>
              </w:rPr>
              <w:t>• حجب أرقام الهاتف قبل قبول العرض — فلتر أنماط يكتشف الأرقام المكتوبة رقمياً أو نصّياً أو بفواصل</w:t>
            </w:r>
          </w:p>
          <w:p>
            <w:pPr>
              <w:bidi w:val="1"/>
              <w:spacing w:after="10"/>
              <w:jc w:val="right"/>
            </w:pPr>
            <w:r>
              <w:rPr>
                <w:rFonts w:ascii="Tajawal" w:hAnsi="Tajawal" w:cs="Tajawal"/>
                <w:b w:val="0"/>
                <w:color w:val="333A36"/>
                <w:sz w:val="17"/>
                <w:szCs w:val="17"/>
                <w:rtl w:val="1"/>
              </w:rPr>
              <w:t>• الإبلاغ عن الرسائل المسيئة مع تصعيد للإدارة</w:t>
            </w:r>
          </w:p>
          <w:p>
            <w:pPr>
              <w:bidi w:val="1"/>
              <w:spacing w:after="10"/>
              <w:jc w:val="right"/>
            </w:pPr>
            <w:r>
              <w:rPr>
                <w:rFonts w:ascii="Tajawal" w:hAnsi="Tajawal" w:cs="Tajawal"/>
                <w:b w:val="0"/>
                <w:color w:val="333A36"/>
                <w:sz w:val="17"/>
                <w:szCs w:val="17"/>
                <w:rtl w:val="1"/>
              </w:rPr>
              <w:t>• إظهار الرقم بعد قبول العرض أو إبقاء التواصل داخل التطبيق — وفق مفتاح إعداد تحدّده الإدارة</w:t>
            </w:r>
          </w:p>
          <w:p>
            <w:pPr>
              <w:bidi w:val="1"/>
              <w:spacing w:after="10"/>
              <w:jc w:val="right"/>
            </w:pPr>
            <w:r>
              <w:rPr>
                <w:rFonts w:ascii="Tajawal" w:hAnsi="Tajawal" w:cs="Tajawal"/>
                <w:b w:val="0"/>
                <w:color w:val="333A36"/>
                <w:sz w:val="17"/>
                <w:szCs w:val="17"/>
                <w:rtl w:val="1"/>
              </w:rPr>
              <w:t>• المحادثة دليل قابل للاستدعاء في النزاعات</w:t>
            </w:r>
          </w:p>
        </w:tc>
      </w:tr>
    </w:tbl>
    <w:p>
      <w:pPr>
        <w:spacing w:after="60"/>
      </w:pPr>
    </w:p>
    <w:p>
      <w:pPr>
        <w:keepNext/>
        <w:bidi w:val="1"/>
        <w:spacing w:before="220" w:after="40"/>
        <w:jc w:val="right"/>
      </w:pPr>
      <w:r>
        <w:rPr>
          <w:rFonts w:ascii="Tajawal" w:hAnsi="Tajawal" w:cs="Tajawal"/>
          <w:b/>
          <w:color w:val="1D6B47"/>
          <w:sz w:val="24"/>
          <w:szCs w:val="24"/>
          <w:rtl w:val="1"/>
        </w:rPr>
        <w:t>٩-٢ نظام الإشعارات</w:t>
      </w:r>
    </w:p>
    <w:p>
      <w:pPr>
        <w:bidi w:val="1"/>
        <w:spacing w:after="100" w:line="348" w:lineRule="auto"/>
        <w:jc w:val="right"/>
      </w:pPr>
      <w:r>
        <w:rPr>
          <w:rFonts w:ascii="Tajawal" w:hAnsi="Tajawal" w:cs="Tajawal"/>
          <w:b w:val="0"/>
          <w:color w:val="333A36"/>
          <w:sz w:val="21"/>
          <w:szCs w:val="21"/>
          <w:rtl w:val="1"/>
        </w:rPr>
        <w:t xml:space="preserve">محرّك قائم على </w:t>
      </w:r>
      <w:r>
        <w:rPr>
          <w:rFonts w:ascii="Tajawal" w:hAnsi="Tajawal" w:cs="Tajawal"/>
          <w:b/>
          <w:color w:val="333A36"/>
          <w:sz w:val="21"/>
          <w:szCs w:val="21"/>
          <w:rtl w:val="1"/>
        </w:rPr>
        <w:t xml:space="preserve">القوالب والأحداث </w:t>
      </w:r>
      <w:r>
        <w:rPr>
          <w:rFonts w:ascii="Tajawal" w:hAnsi="Tajawal" w:cs="Tajawal"/>
          <w:b w:val="0"/>
          <w:color w:val="333A36"/>
          <w:sz w:val="21"/>
          <w:szCs w:val="21"/>
          <w:rtl w:val="1"/>
        </w:rPr>
        <w:t xml:space="preserve">: كل حدث يُطلق قالباً، والقالب يحدّد القنوات والمحتوى. القوالب تُحرَّر من اللوحة دون إصدار برمجي. </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القناة</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المرحلة</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الاستخدام</w:t>
            </w:r>
          </w:p>
        </w:tc>
      </w:tr>
      <w:tr>
        <w:tc>
          <w:tcPr>
            <w:tcW w:type="dxa" w:w="3360"/>
          </w:tcPr>
          <w:p>
            <w:pPr>
              <w:bidi w:val="1"/>
              <w:spacing w:before="20" w:after="20"/>
              <w:jc w:val="right"/>
            </w:pPr>
            <w:r/>
            <w:r>
              <w:rPr>
                <w:rFonts w:ascii="Tajawal" w:hAnsi="Tajawal" w:cs="Tajawal"/>
                <w:b w:val="0"/>
                <w:color w:val="333A36"/>
                <w:sz w:val="17"/>
                <w:szCs w:val="17"/>
                <w:rtl w:val="1"/>
              </w:rPr>
              <w:t>إشعارات داخل التطبيق</w:t>
            </w:r>
          </w:p>
        </w:tc>
        <w:tc>
          <w:tcPr>
            <w:tcW w:type="dxa" w:w="3360"/>
          </w:tcPr>
          <w:p>
            <w:pPr>
              <w:bidi w:val="1"/>
              <w:spacing w:before="20" w:after="20"/>
              <w:jc w:val="center"/>
            </w:pPr>
            <w:r/>
            <w:r>
              <w:rPr>
                <w:rFonts w:ascii="Tajawal" w:hAnsi="Tajawal" w:cs="Tajawal"/>
                <w:b w:val="0"/>
                <w:color w:val="333A36"/>
                <w:sz w:val="17"/>
                <w:szCs w:val="17"/>
                <w:rtl w:val="1"/>
              </w:rPr>
              <w:t>المرحلة ١</w:t>
            </w:r>
          </w:p>
        </w:tc>
        <w:tc>
          <w:tcPr>
            <w:tcW w:type="dxa" w:w="3360"/>
          </w:tcPr>
          <w:p>
            <w:pPr>
              <w:bidi w:val="1"/>
              <w:spacing w:before="20" w:after="20"/>
              <w:jc w:val="right"/>
            </w:pPr>
            <w:r/>
            <w:r>
              <w:rPr>
                <w:rFonts w:ascii="Tajawal" w:hAnsi="Tajawal" w:cs="Tajawal"/>
                <w:b w:val="0"/>
                <w:color w:val="333A36"/>
                <w:sz w:val="17"/>
                <w:szCs w:val="17"/>
                <w:rtl w:val="1"/>
              </w:rPr>
              <w:t>مركز إشعارات مع حالة القراءة.</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إشعارات فورية Push</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المرحلة ١</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القناة الأساسية للأحداث اللحظية عبر FCM.</w:t>
            </w:r>
          </w:p>
        </w:tc>
      </w:tr>
      <w:tr>
        <w:tc>
          <w:tcPr>
            <w:tcW w:type="dxa" w:w="3360"/>
          </w:tcPr>
          <w:p>
            <w:pPr>
              <w:bidi w:val="1"/>
              <w:spacing w:before="20" w:after="20"/>
              <w:jc w:val="right"/>
            </w:pPr>
            <w:r/>
            <w:r>
              <w:rPr>
                <w:rFonts w:ascii="Tajawal" w:hAnsi="Tajawal" w:cs="Tajawal"/>
                <w:b w:val="0"/>
                <w:color w:val="333A36"/>
                <w:sz w:val="17"/>
                <w:szCs w:val="17"/>
                <w:rtl w:val="1"/>
              </w:rPr>
              <w:t>رسائل SMS</w:t>
            </w:r>
          </w:p>
        </w:tc>
        <w:tc>
          <w:tcPr>
            <w:tcW w:type="dxa" w:w="3360"/>
          </w:tcPr>
          <w:p>
            <w:pPr>
              <w:bidi w:val="1"/>
              <w:spacing w:before="20" w:after="20"/>
              <w:jc w:val="center"/>
            </w:pPr>
            <w:r/>
            <w:r>
              <w:rPr>
                <w:rFonts w:ascii="Tajawal" w:hAnsi="Tajawal" w:cs="Tajawal"/>
                <w:b w:val="0"/>
                <w:color w:val="333A36"/>
                <w:sz w:val="17"/>
                <w:szCs w:val="17"/>
                <w:rtl w:val="1"/>
              </w:rPr>
              <w:t>المرحلة ١</w:t>
            </w:r>
          </w:p>
        </w:tc>
        <w:tc>
          <w:tcPr>
            <w:tcW w:type="dxa" w:w="3360"/>
          </w:tcPr>
          <w:p>
            <w:pPr>
              <w:bidi w:val="1"/>
              <w:spacing w:before="20" w:after="20"/>
              <w:jc w:val="right"/>
            </w:pPr>
            <w:r/>
            <w:r>
              <w:rPr>
                <w:rFonts w:ascii="Tajawal" w:hAnsi="Tajawal" w:cs="Tajawal"/>
                <w:b w:val="0"/>
                <w:color w:val="333A36"/>
                <w:sz w:val="17"/>
                <w:szCs w:val="17"/>
                <w:rtl w:val="1"/>
              </w:rPr>
              <w:t>رمز الدخول OTP والأحداث الحرجة فقط.</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البريد الإلكتروني</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المرحلة ١</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الفواتير والتقارير والتنبيهات الإدارية.</w:t>
            </w:r>
          </w:p>
        </w:tc>
      </w:tr>
      <w:tr>
        <w:tc>
          <w:tcPr>
            <w:tcW w:type="dxa" w:w="3360"/>
          </w:tcPr>
          <w:p>
            <w:pPr>
              <w:bidi w:val="1"/>
              <w:spacing w:before="20" w:after="20"/>
              <w:jc w:val="right"/>
            </w:pPr>
            <w:r/>
            <w:r>
              <w:rPr>
                <w:rFonts w:ascii="Tajawal" w:hAnsi="Tajawal" w:cs="Tajawal"/>
                <w:b w:val="0"/>
                <w:color w:val="333A36"/>
                <w:sz w:val="17"/>
                <w:szCs w:val="17"/>
                <w:rtl w:val="1"/>
              </w:rPr>
              <w:t>WhatsApp Business</w:t>
            </w:r>
          </w:p>
        </w:tc>
        <w:tc>
          <w:tcPr>
            <w:tcW w:type="dxa" w:w="3360"/>
          </w:tcPr>
          <w:p>
            <w:pPr>
              <w:bidi w:val="1"/>
              <w:spacing w:before="20" w:after="20"/>
              <w:jc w:val="center"/>
            </w:pPr>
            <w:r/>
            <w:r>
              <w:rPr>
                <w:rFonts w:ascii="Tajawal" w:hAnsi="Tajawal" w:cs="Tajawal"/>
                <w:b w:val="0"/>
                <w:color w:val="333A36"/>
                <w:sz w:val="17"/>
                <w:szCs w:val="17"/>
                <w:rtl w:val="1"/>
              </w:rPr>
              <w:t>اختياري</w:t>
            </w:r>
          </w:p>
        </w:tc>
        <w:tc>
          <w:tcPr>
            <w:tcW w:type="dxa" w:w="3360"/>
          </w:tcPr>
          <w:p>
            <w:pPr>
              <w:bidi w:val="1"/>
              <w:spacing w:before="20" w:after="20"/>
              <w:jc w:val="right"/>
            </w:pPr>
            <w:r/>
            <w:r>
              <w:rPr>
                <w:rFonts w:ascii="Tajawal" w:hAnsi="Tajawal" w:cs="Tajawal"/>
                <w:b w:val="0"/>
                <w:color w:val="333A36"/>
                <w:sz w:val="17"/>
                <w:szCs w:val="17"/>
                <w:rtl w:val="1"/>
              </w:rPr>
              <w:t>يُسعَّر منفصلاً حسب توفّر خدمة الربط.</w:t>
            </w:r>
          </w:p>
        </w:tc>
      </w:tr>
    </w:tbl>
    <w:p>
      <w:pPr>
        <w:spacing w:after="60"/>
      </w:pPr>
    </w:p>
    <w:p>
      <w:pPr>
        <w:bidi w:val="1"/>
        <w:spacing w:before="160" w:after="40"/>
        <w:jc w:val="right"/>
      </w:pPr>
      <w:r>
        <w:rPr>
          <w:rFonts w:ascii="Tajawal" w:hAnsi="Tajawal" w:cs="Tajawal"/>
          <w:b/>
          <w:color w:val="141414"/>
          <w:sz w:val="21"/>
          <w:szCs w:val="21"/>
          <w:rtl w:val="1"/>
        </w:rPr>
        <w:t>الأحداث المُشعِرة</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رمز تسجيل الدخول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قبول مقدّم الخدمة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رفض طلب التوثيق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وصول طلب خدمة جديد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وصول عرض سعر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قبول العرض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رفض العرض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إلغاء الطلب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تحرّك مقدّم الخدمة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وصول مقدّم الخدمة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بدء التنفيذ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موافقة على تكلفة إضافية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إنجاز الخدمة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تأكيد الدفع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استرداد المبلغ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وصول رسالة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فتح شكوى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تحديث الشكوى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طلب تقييم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عروض وخصومات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انتهاء اشتراك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إيقاف أو تفعيل الحساب </w:t>
      </w:r>
    </w:p>
    <w:tbl>
      <w:tblPr>
        <w:tblStyle w:val="TableGrid"/>
        <w:bidiVisual w:val="1"/>
        <w:tblW w:type="auto" w:w="0"/>
        <w:jc w:val="right"/>
        <w:tblLook w:firstColumn="1" w:firstRow="1" w:lastColumn="0" w:lastRow="0" w:noHBand="0" w:noVBand="1" w:val="04A0"/>
      </w:tblPr>
      <w:tblGrid>
        <w:gridCol w:w="10080"/>
      </w:tblGrid>
      <w:tr>
        <w:tc>
          <w:tcPr>
            <w:tcW w:type="dxa" w:w="10080"/>
            <w:shd w:val="clear" w:color="auto" w:fill="EEF3F0"/>
          </w:tcPr>
          <w:p>
            <w:pPr>
              <w:bidi w:val="1"/>
              <w:spacing w:after="40" w:line="336" w:lineRule="auto"/>
              <w:jc w:val="right"/>
            </w:pPr>
            <w:r/>
            <w:r>
              <w:rPr>
                <w:rFonts w:ascii="Tajawal" w:hAnsi="Tajawal" w:cs="Tajawal"/>
                <w:b/>
                <w:color w:val="14512F"/>
                <w:sz w:val="19"/>
                <w:szCs w:val="19"/>
                <w:rtl w:val="1"/>
              </w:rPr>
              <w:t>تحكّم المستخدم</w:t>
            </w:r>
          </w:p>
          <w:p>
            <w:pPr>
              <w:bidi w:val="1"/>
              <w:spacing w:after="40" w:line="336" w:lineRule="auto"/>
              <w:jc w:val="right"/>
            </w:pPr>
            <w:r>
              <w:rPr>
                <w:rFonts w:ascii="Tajawal" w:hAnsi="Tajawal" w:cs="Tajawal"/>
                <w:b w:val="0"/>
                <w:color w:val="333A36"/>
                <w:sz w:val="18"/>
                <w:szCs w:val="18"/>
                <w:rtl w:val="1"/>
              </w:rPr>
              <w:t xml:space="preserve">يفصل النظام بين </w:t>
            </w:r>
            <w:r>
              <w:rPr>
                <w:rFonts w:ascii="Tajawal" w:hAnsi="Tajawal" w:cs="Tajawal"/>
                <w:b/>
                <w:color w:val="333A36"/>
                <w:sz w:val="18"/>
                <w:szCs w:val="18"/>
                <w:rtl w:val="1"/>
              </w:rPr>
              <w:t xml:space="preserve">الإشعارات التشغيلية </w:t>
            </w:r>
            <w:r>
              <w:rPr>
                <w:rFonts w:ascii="Tajawal" w:hAnsi="Tajawal" w:cs="Tajawal"/>
                <w:b w:val="0"/>
                <w:color w:val="333A36"/>
                <w:sz w:val="18"/>
                <w:szCs w:val="18"/>
                <w:rtl w:val="1"/>
              </w:rPr>
              <w:t xml:space="preserve">— لا يمكن إيقافها لأنها جزء من الخدمة — و </w:t>
            </w:r>
            <w:r>
              <w:rPr>
                <w:rFonts w:ascii="Tajawal" w:hAnsi="Tajawal" w:cs="Tajawal"/>
                <w:b/>
                <w:color w:val="333A36"/>
                <w:sz w:val="18"/>
                <w:szCs w:val="18"/>
                <w:rtl w:val="1"/>
              </w:rPr>
              <w:t xml:space="preserve">الإشعارات التسويقية </w:t>
            </w:r>
            <w:r>
              <w:rPr>
                <w:rFonts w:ascii="Tajawal" w:hAnsi="Tajawal" w:cs="Tajawal"/>
                <w:b w:val="0"/>
                <w:color w:val="333A36"/>
                <w:sz w:val="18"/>
                <w:szCs w:val="18"/>
                <w:rtl w:val="1"/>
              </w:rPr>
              <w:t xml:space="preserve">التي يتحكّم المستخدم في استقبالها من إعداداته، تنفيذاً للمطلب الصريح في الوثيقة. </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١٠ البحث والتصفية ومعالجة اللغة العربية</w:t>
      </w:r>
    </w:p>
    <w:p>
      <w:pPr>
        <w:bidi w:val="1"/>
        <w:spacing w:after="140" w:line="348" w:lineRule="auto"/>
        <w:jc w:val="right"/>
      </w:pPr>
      <w:r>
        <w:rPr>
          <w:rFonts w:ascii="Tajawal" w:hAnsi="Tajawal" w:cs="Tajawal"/>
          <w:b w:val="0"/>
          <w:color w:val="5F6B65"/>
          <w:sz w:val="22"/>
          <w:szCs w:val="22"/>
          <w:rtl w:val="1"/>
        </w:rPr>
        <w:t xml:space="preserve">نصّت الوثيقة على دعم البحث بالعربية مع معالجة الاختلافات البسيطة في كتابة الكلمات. هذه ليست خاصية جانبية — هي الفرق بين أن يجد المستخدم الخدمة أو يغادر التطبيق. </w:t>
      </w:r>
    </w:p>
    <w:p>
      <w:pPr>
        <w:keepNext/>
        <w:bidi w:val="1"/>
        <w:spacing w:before="220" w:after="40"/>
        <w:jc w:val="right"/>
      </w:pPr>
      <w:r>
        <w:rPr>
          <w:rFonts w:ascii="Tajawal" w:hAnsi="Tajawal" w:cs="Tajawal"/>
          <w:b/>
          <w:color w:val="1D6B47"/>
          <w:sz w:val="24"/>
          <w:szCs w:val="24"/>
          <w:rtl w:val="1"/>
        </w:rPr>
        <w:t>١٠-١ طبقة تطبيع النص العربي</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المعالجة</w:t>
            </w:r>
          </w:p>
        </w:tc>
        <w:tc>
          <w:tcPr>
            <w:tcW w:type="dxa" w:w="3360"/>
            <w:shd w:val="clear" w:color="auto" w:fill="14512F"/>
          </w:tcPr>
          <w:p>
            <w:pPr>
              <w:bidi w:val="1"/>
              <w:spacing w:before="20" w:after="20"/>
              <w:jc w:val="right"/>
            </w:pPr>
            <w:r/>
            <w:r>
              <w:rPr>
                <w:rFonts w:ascii="Tajawal" w:hAnsi="Tajawal" w:cs="Tajawal"/>
                <w:b/>
                <w:color w:val="FFFFFF"/>
                <w:sz w:val="17"/>
                <w:szCs w:val="17"/>
                <w:rtl w:val="1"/>
              </w:rPr>
              <w:t>مثال</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الأثر</w:t>
            </w:r>
          </w:p>
        </w:tc>
      </w:tr>
      <w:tr>
        <w:tc>
          <w:tcPr>
            <w:tcW w:type="dxa" w:w="3360"/>
          </w:tcPr>
          <w:p>
            <w:pPr>
              <w:bidi w:val="1"/>
              <w:spacing w:before="20" w:after="20"/>
              <w:jc w:val="right"/>
            </w:pPr>
            <w:r/>
            <w:r>
              <w:rPr>
                <w:rFonts w:ascii="Tajawal" w:hAnsi="Tajawal" w:cs="Tajawal"/>
                <w:b w:val="0"/>
                <w:color w:val="333A36"/>
                <w:sz w:val="17"/>
                <w:szCs w:val="17"/>
                <w:rtl w:val="1"/>
              </w:rPr>
              <w:t>توحيد الهمزات</w:t>
            </w:r>
          </w:p>
        </w:tc>
        <w:tc>
          <w:tcPr>
            <w:tcW w:type="dxa" w:w="3360"/>
          </w:tcPr>
          <w:p>
            <w:pPr>
              <w:bidi w:val="1"/>
              <w:spacing w:before="20" w:after="20"/>
              <w:jc w:val="right"/>
            </w:pPr>
            <w:r/>
            <w:r>
              <w:rPr>
                <w:rFonts w:ascii="Tajawal" w:hAnsi="Tajawal" w:cs="Tajawal"/>
                <w:b w:val="0"/>
                <w:color w:val="333A36"/>
                <w:sz w:val="17"/>
                <w:szCs w:val="17"/>
                <w:rtl w:val="1"/>
              </w:rPr>
              <w:t>أ / إ / آ ← ا</w:t>
            </w:r>
          </w:p>
        </w:tc>
        <w:tc>
          <w:tcPr>
            <w:tcW w:type="dxa" w:w="3360"/>
          </w:tcPr>
          <w:p>
            <w:pPr>
              <w:bidi w:val="1"/>
              <w:spacing w:before="20" w:after="20"/>
              <w:jc w:val="right"/>
            </w:pPr>
            <w:r/>
            <w:r>
              <w:rPr>
                <w:rFonts w:ascii="Tajawal" w:hAnsi="Tajawal" w:cs="Tajawal"/>
                <w:b w:val="0"/>
                <w:color w:val="333A36"/>
                <w:sz w:val="17"/>
                <w:szCs w:val="17"/>
                <w:rtl w:val="1"/>
              </w:rPr>
              <w:t>«إصلاح» و«اصلاح» تعطيان النتيجة نفسها.</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توحيد التاء المربوطة</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ة ← ه</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«سباكة» و«سباكه».</w:t>
            </w:r>
          </w:p>
        </w:tc>
      </w:tr>
      <w:tr>
        <w:tc>
          <w:tcPr>
            <w:tcW w:type="dxa" w:w="3360"/>
          </w:tcPr>
          <w:p>
            <w:pPr>
              <w:bidi w:val="1"/>
              <w:spacing w:before="20" w:after="20"/>
              <w:jc w:val="right"/>
            </w:pPr>
            <w:r/>
            <w:r>
              <w:rPr>
                <w:rFonts w:ascii="Tajawal" w:hAnsi="Tajawal" w:cs="Tajawal"/>
                <w:b w:val="0"/>
                <w:color w:val="333A36"/>
                <w:sz w:val="17"/>
                <w:szCs w:val="17"/>
                <w:rtl w:val="1"/>
              </w:rPr>
              <w:t>توحيد الألف المقصورة</w:t>
            </w:r>
          </w:p>
        </w:tc>
        <w:tc>
          <w:tcPr>
            <w:tcW w:type="dxa" w:w="3360"/>
          </w:tcPr>
          <w:p>
            <w:pPr>
              <w:bidi w:val="1"/>
              <w:spacing w:before="20" w:after="20"/>
              <w:jc w:val="right"/>
            </w:pPr>
            <w:r/>
            <w:r>
              <w:rPr>
                <w:rFonts w:ascii="Tajawal" w:hAnsi="Tajawal" w:cs="Tajawal"/>
                <w:b w:val="0"/>
                <w:color w:val="333A36"/>
                <w:sz w:val="17"/>
                <w:szCs w:val="17"/>
                <w:rtl w:val="1"/>
              </w:rPr>
              <w:t>ى ← ي</w:t>
            </w:r>
          </w:p>
        </w:tc>
        <w:tc>
          <w:tcPr>
            <w:tcW w:type="dxa" w:w="3360"/>
          </w:tcPr>
          <w:p>
            <w:pPr>
              <w:bidi w:val="1"/>
              <w:spacing w:before="20" w:after="20"/>
              <w:jc w:val="right"/>
            </w:pPr>
            <w:r/>
            <w:r>
              <w:rPr>
                <w:rFonts w:ascii="Tajawal" w:hAnsi="Tajawal" w:cs="Tajawal"/>
                <w:b w:val="0"/>
                <w:color w:val="333A36"/>
                <w:sz w:val="17"/>
                <w:szCs w:val="17"/>
                <w:rtl w:val="1"/>
              </w:rPr>
              <w:t>«مبنى» و«مبني».</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حذف التشكيل والتطويل</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الحركات والكشيدة</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تجاهلها في المطابقة.</w:t>
            </w:r>
          </w:p>
        </w:tc>
      </w:tr>
      <w:tr>
        <w:tc>
          <w:tcPr>
            <w:tcW w:type="dxa" w:w="3360"/>
          </w:tcPr>
          <w:p>
            <w:pPr>
              <w:bidi w:val="1"/>
              <w:spacing w:before="20" w:after="20"/>
              <w:jc w:val="right"/>
            </w:pPr>
            <w:r/>
            <w:r>
              <w:rPr>
                <w:rFonts w:ascii="Tajawal" w:hAnsi="Tajawal" w:cs="Tajawal"/>
                <w:b w:val="0"/>
                <w:color w:val="333A36"/>
                <w:sz w:val="17"/>
                <w:szCs w:val="17"/>
                <w:rtl w:val="1"/>
              </w:rPr>
              <w:t>توحيد الأرقام</w:t>
            </w:r>
          </w:p>
        </w:tc>
        <w:tc>
          <w:tcPr>
            <w:tcW w:type="dxa" w:w="3360"/>
          </w:tcPr>
          <w:p>
            <w:pPr>
              <w:bidi w:val="1"/>
              <w:spacing w:before="20" w:after="20"/>
              <w:jc w:val="right"/>
            </w:pPr>
            <w:r/>
            <w:r>
              <w:rPr>
                <w:rFonts w:ascii="Tajawal" w:hAnsi="Tajawal" w:cs="Tajawal"/>
                <w:b w:val="0"/>
                <w:color w:val="333A36"/>
                <w:sz w:val="17"/>
                <w:szCs w:val="17"/>
                <w:rtl w:val="1"/>
              </w:rPr>
              <w:t>٠١٢٣ ← 0123</w:t>
            </w:r>
          </w:p>
        </w:tc>
        <w:tc>
          <w:tcPr>
            <w:tcW w:type="dxa" w:w="3360"/>
          </w:tcPr>
          <w:p>
            <w:pPr>
              <w:bidi w:val="1"/>
              <w:spacing w:before="20" w:after="20"/>
              <w:jc w:val="right"/>
            </w:pPr>
            <w:r/>
            <w:r>
              <w:rPr>
                <w:rFonts w:ascii="Tajawal" w:hAnsi="Tajawal" w:cs="Tajawal"/>
                <w:b w:val="0"/>
                <w:color w:val="333A36"/>
                <w:sz w:val="17"/>
                <w:szCs w:val="17"/>
                <w:rtl w:val="1"/>
              </w:rPr>
              <w:t>البحث بالأرقام العربية والهندية معاً.</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التسامح مع الأخطاء</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Trigram similarity</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«كهربائي» تطابق «كهربجي» عبر تشابه الثلاثيات.</w:t>
            </w:r>
          </w:p>
        </w:tc>
      </w:tr>
      <w:tr>
        <w:tc>
          <w:tcPr>
            <w:tcW w:type="dxa" w:w="3360"/>
          </w:tcPr>
          <w:p>
            <w:pPr>
              <w:bidi w:val="1"/>
              <w:spacing w:before="20" w:after="20"/>
              <w:jc w:val="right"/>
            </w:pPr>
            <w:r/>
            <w:r>
              <w:rPr>
                <w:rFonts w:ascii="Tajawal" w:hAnsi="Tajawal" w:cs="Tajawal"/>
                <w:b w:val="0"/>
                <w:color w:val="333A36"/>
                <w:sz w:val="17"/>
                <w:szCs w:val="17"/>
                <w:rtl w:val="1"/>
              </w:rPr>
              <w:t>المرادفات</w:t>
            </w:r>
          </w:p>
        </w:tc>
        <w:tc>
          <w:tcPr>
            <w:tcW w:type="dxa" w:w="3360"/>
          </w:tcPr>
          <w:p>
            <w:pPr>
              <w:bidi w:val="1"/>
              <w:spacing w:before="20" w:after="20"/>
              <w:jc w:val="right"/>
            </w:pPr>
            <w:r/>
            <w:r>
              <w:rPr>
                <w:rFonts w:ascii="Tajawal" w:hAnsi="Tajawal" w:cs="Tajawal"/>
                <w:b w:val="0"/>
                <w:color w:val="333A36"/>
                <w:sz w:val="17"/>
                <w:szCs w:val="17"/>
                <w:rtl w:val="1"/>
              </w:rPr>
              <w:t>«مكيّف» ≡ «إسبليت»</w:t>
            </w:r>
          </w:p>
        </w:tc>
        <w:tc>
          <w:tcPr>
            <w:tcW w:type="dxa" w:w="3360"/>
          </w:tcPr>
          <w:p>
            <w:pPr>
              <w:bidi w:val="1"/>
              <w:spacing w:before="20" w:after="20"/>
              <w:jc w:val="right"/>
            </w:pPr>
            <w:r/>
            <w:r>
              <w:rPr>
                <w:rFonts w:ascii="Tajawal" w:hAnsi="Tajawal" w:cs="Tajawal"/>
                <w:b w:val="0"/>
                <w:color w:val="333A36"/>
                <w:sz w:val="17"/>
                <w:szCs w:val="17"/>
                <w:rtl w:val="1"/>
              </w:rPr>
              <w:t>قاموس مرادفات قابل للتحرير من اللوحة.</w:t>
            </w:r>
          </w:p>
        </w:tc>
      </w:tr>
    </w:tbl>
    <w:p>
      <w:pPr>
        <w:spacing w:after="60"/>
      </w:pPr>
    </w:p>
    <w:p>
      <w:pPr>
        <w:bidi w:val="1"/>
        <w:spacing w:after="140" w:line="348" w:lineRule="auto"/>
        <w:jc w:val="right"/>
      </w:pPr>
      <w:r>
        <w:rPr>
          <w:rFonts w:ascii="Tajawal" w:hAnsi="Tajawal" w:cs="Tajawal"/>
          <w:b w:val="0"/>
          <w:color w:val="5F6B65"/>
          <w:sz w:val="17"/>
          <w:szCs w:val="17"/>
          <w:rtl w:val="1"/>
        </w:rPr>
        <w:t xml:space="preserve">التنفيذ عبر </w:t>
      </w:r>
      <w:r>
        <w:rPr>
          <w:rFonts w:ascii="Tajawal" w:hAnsi="Tajawal" w:cs="Tajawal"/>
          <w:b w:val="0"/>
          <w:color w:val="1D6B47"/>
          <w:sz w:val="17"/>
          <w:szCs w:val="17"/>
          <w:rtl w:val="1"/>
        </w:rPr>
        <w:t xml:space="preserve">unaccent </w:t>
      </w:r>
      <w:r>
        <w:rPr>
          <w:rFonts w:ascii="Tajawal" w:hAnsi="Tajawal" w:cs="Tajawal"/>
          <w:b w:val="0"/>
          <w:color w:val="5F6B65"/>
          <w:sz w:val="17"/>
          <w:szCs w:val="17"/>
          <w:rtl w:val="1"/>
        </w:rPr>
        <w:t xml:space="preserve">و </w:t>
      </w:r>
      <w:r>
        <w:rPr>
          <w:rFonts w:ascii="Tajawal" w:hAnsi="Tajawal" w:cs="Tajawal"/>
          <w:b w:val="0"/>
          <w:color w:val="1D6B47"/>
          <w:sz w:val="17"/>
          <w:szCs w:val="17"/>
          <w:rtl w:val="1"/>
        </w:rPr>
        <w:t xml:space="preserve">pg_trgm </w:t>
      </w:r>
      <w:r>
        <w:rPr>
          <w:rFonts w:ascii="Tajawal" w:hAnsi="Tajawal" w:cs="Tajawal"/>
          <w:b w:val="0"/>
          <w:color w:val="5F6B65"/>
          <w:sz w:val="17"/>
          <w:szCs w:val="17"/>
          <w:rtl w:val="1"/>
        </w:rPr>
        <w:t xml:space="preserve">في PostgreSQL مع عمود مُطبَّع مفهرس، دون الحاجة إلى محرّك بحث خارجي في المرحلة الأولى. </w:t>
      </w:r>
    </w:p>
    <w:p>
      <w:pPr>
        <w:keepNext/>
        <w:bidi w:val="1"/>
        <w:spacing w:before="220" w:after="40"/>
        <w:jc w:val="right"/>
      </w:pPr>
      <w:r>
        <w:rPr>
          <w:rFonts w:ascii="Tajawal" w:hAnsi="Tajawal" w:cs="Tajawal"/>
          <w:b/>
          <w:color w:val="1D6B47"/>
          <w:sz w:val="24"/>
          <w:szCs w:val="24"/>
          <w:rtl w:val="1"/>
        </w:rPr>
        <w:t>١٠-٢ محاور التصفية المتاحة للعميل</w:t>
      </w:r>
    </w:p>
    <w:p>
      <w:pPr>
        <w:bidi w:val="1"/>
        <w:spacing w:after="120" w:line="360" w:lineRule="auto"/>
        <w:jc w:val="right"/>
      </w:pPr>
      <w:r>
        <w:rPr>
          <w:rFonts w:ascii="Tajawal" w:hAnsi="Tajawal" w:cs="Tajawal"/>
          <w:b w:val="0"/>
          <w:color w:val="1D6B47"/>
          <w:sz w:val="18"/>
          <w:szCs w:val="18"/>
          <w:rtl w:val="1"/>
        </w:rPr>
        <w:t>اسم الخدمة  ·  التصنيف  ·  المحافظة  ·  المدينة  ·  المنطقة  ·  المسافة  ·  التقييم  ·  السعر  ·  مستوى التوثيق  ·  سرعة الوصول  ·  المتاحون الآن  ·  الشركات فقط  ·  الأفراد فقط  ·  الخدمة الطارئة  ·  السعر الثابت  ·  المفضّلون</w:t>
      </w:r>
    </w:p>
    <w:p>
      <w:pPr>
        <w:keepNext/>
        <w:pBdr>
          <w:bottom w:val="single" w:sz="12" w:space="3" w:color="14512F"/>
        </w:pBdr>
        <w:bidi w:val="1"/>
        <w:spacing w:before="320" w:after="40"/>
        <w:jc w:val="right"/>
      </w:pPr>
      <w:r>
        <w:rPr>
          <w:rFonts w:ascii="Tajawal" w:hAnsi="Tajawal" w:cs="Tajawal"/>
          <w:b/>
          <w:color w:val="141414"/>
          <w:sz w:val="36"/>
          <w:szCs w:val="36"/>
          <w:rtl w:val="1"/>
        </w:rPr>
        <w:t>١١ الخرائط والموقع الجغرافي</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الوظيفة</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المرحلة</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التنفيذ</w:t>
            </w:r>
          </w:p>
        </w:tc>
      </w:tr>
      <w:tr>
        <w:tc>
          <w:tcPr>
            <w:tcW w:type="dxa" w:w="3360"/>
          </w:tcPr>
          <w:p>
            <w:pPr>
              <w:bidi w:val="1"/>
              <w:spacing w:before="20" w:after="20"/>
              <w:jc w:val="right"/>
            </w:pPr>
            <w:r/>
            <w:r>
              <w:rPr>
                <w:rFonts w:ascii="Tajawal" w:hAnsi="Tajawal" w:cs="Tajawal"/>
                <w:b w:val="0"/>
                <w:color w:val="333A36"/>
                <w:sz w:val="17"/>
                <w:szCs w:val="17"/>
                <w:rtl w:val="1"/>
              </w:rPr>
              <w:t>تحديد موقع العميل تلقائياً بعد موافقته</w:t>
            </w:r>
          </w:p>
        </w:tc>
        <w:tc>
          <w:tcPr>
            <w:tcW w:type="dxa" w:w="3360"/>
          </w:tcPr>
          <w:p>
            <w:pPr>
              <w:bidi w:val="1"/>
              <w:spacing w:before="20" w:after="20"/>
              <w:jc w:val="center"/>
            </w:pPr>
            <w:r/>
            <w:r>
              <w:rPr>
                <w:rFonts w:ascii="Tajawal" w:hAnsi="Tajawal" w:cs="Tajawal"/>
                <w:b w:val="0"/>
                <w:color w:val="333A36"/>
                <w:sz w:val="17"/>
                <w:szCs w:val="17"/>
                <w:rtl w:val="1"/>
              </w:rPr>
              <w:t>المرحلة ١</w:t>
            </w:r>
          </w:p>
        </w:tc>
        <w:tc>
          <w:tcPr>
            <w:tcW w:type="dxa" w:w="3360"/>
          </w:tcPr>
          <w:p>
            <w:pPr>
              <w:bidi w:val="1"/>
              <w:spacing w:before="20" w:after="20"/>
              <w:jc w:val="right"/>
            </w:pPr>
            <w:r/>
            <w:r>
              <w:rPr>
                <w:rFonts w:ascii="Tajawal" w:hAnsi="Tajawal" w:cs="Tajawal"/>
                <w:b w:val="0"/>
                <w:color w:val="333A36"/>
                <w:sz w:val="17"/>
                <w:szCs w:val="17"/>
                <w:rtl w:val="1"/>
              </w:rPr>
              <w:t>أذونات صريحة مع شرح سبب الطلب.</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تحديد الموقع يدوياً على الخريطة</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المرحلة ١</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مؤشّر قابل للسحب مع عنوان عكسي.</w:t>
            </w:r>
          </w:p>
        </w:tc>
      </w:tr>
      <w:tr>
        <w:tc>
          <w:tcPr>
            <w:tcW w:type="dxa" w:w="3360"/>
          </w:tcPr>
          <w:p>
            <w:pPr>
              <w:bidi w:val="1"/>
              <w:spacing w:before="20" w:after="20"/>
              <w:jc w:val="right"/>
            </w:pPr>
            <w:r/>
            <w:r>
              <w:rPr>
                <w:rFonts w:ascii="Tajawal" w:hAnsi="Tajawal" w:cs="Tajawal"/>
                <w:b w:val="0"/>
                <w:color w:val="333A36"/>
                <w:sz w:val="17"/>
                <w:szCs w:val="17"/>
                <w:rtl w:val="1"/>
              </w:rPr>
              <w:t>حفظ عناوين متعدّدة</w:t>
            </w:r>
          </w:p>
        </w:tc>
        <w:tc>
          <w:tcPr>
            <w:tcW w:type="dxa" w:w="3360"/>
          </w:tcPr>
          <w:p>
            <w:pPr>
              <w:bidi w:val="1"/>
              <w:spacing w:before="20" w:after="20"/>
              <w:jc w:val="center"/>
            </w:pPr>
            <w:r/>
            <w:r>
              <w:rPr>
                <w:rFonts w:ascii="Tajawal" w:hAnsi="Tajawal" w:cs="Tajawal"/>
                <w:b w:val="0"/>
                <w:color w:val="333A36"/>
                <w:sz w:val="17"/>
                <w:szCs w:val="17"/>
                <w:rtl w:val="1"/>
              </w:rPr>
              <w:t>المرحلة ١</w:t>
            </w:r>
          </w:p>
        </w:tc>
        <w:tc>
          <w:tcPr>
            <w:tcW w:type="dxa" w:w="3360"/>
          </w:tcPr>
          <w:p>
            <w:pPr>
              <w:bidi w:val="1"/>
              <w:spacing w:before="20" w:after="20"/>
              <w:jc w:val="right"/>
            </w:pPr>
            <w:r/>
            <w:r>
              <w:rPr>
                <w:rFonts w:ascii="Tajawal" w:hAnsi="Tajawal" w:cs="Tajawal"/>
                <w:b w:val="0"/>
                <w:color w:val="333A36"/>
                <w:sz w:val="17"/>
                <w:szCs w:val="17"/>
                <w:rtl w:val="1"/>
              </w:rPr>
              <w:t>المنزل، العمل، منزل الوالدين، منزل أحد أفراد العائلة، موقع السيارة.</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احتساب المسافة بين الطرفين</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المرحلة ١</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PostGIS للتصفية، وواجهة الخرائط لزمن الوصول الفعلي.</w:t>
            </w:r>
          </w:p>
        </w:tc>
      </w:tr>
      <w:tr>
        <w:tc>
          <w:tcPr>
            <w:tcW w:type="dxa" w:w="3360"/>
          </w:tcPr>
          <w:p>
            <w:pPr>
              <w:bidi w:val="1"/>
              <w:spacing w:before="20" w:after="20"/>
              <w:jc w:val="right"/>
            </w:pPr>
            <w:r/>
            <w:r>
              <w:rPr>
                <w:rFonts w:ascii="Tajawal" w:hAnsi="Tajawal" w:cs="Tajawal"/>
                <w:b w:val="0"/>
                <w:color w:val="333A36"/>
                <w:sz w:val="17"/>
                <w:szCs w:val="17"/>
                <w:rtl w:val="1"/>
              </w:rPr>
              <w:t>الإرسال بحسب نصف قطر التغطية</w:t>
            </w:r>
          </w:p>
        </w:tc>
        <w:tc>
          <w:tcPr>
            <w:tcW w:type="dxa" w:w="3360"/>
          </w:tcPr>
          <w:p>
            <w:pPr>
              <w:bidi w:val="1"/>
              <w:spacing w:before="20" w:after="20"/>
              <w:jc w:val="center"/>
            </w:pPr>
            <w:r/>
            <w:r>
              <w:rPr>
                <w:rFonts w:ascii="Tajawal" w:hAnsi="Tajawal" w:cs="Tajawal"/>
                <w:b w:val="0"/>
                <w:color w:val="333A36"/>
                <w:sz w:val="17"/>
                <w:szCs w:val="17"/>
                <w:rtl w:val="1"/>
              </w:rPr>
              <w:t>المرحلة ١</w:t>
            </w:r>
          </w:p>
        </w:tc>
        <w:tc>
          <w:tcPr>
            <w:tcW w:type="dxa" w:w="3360"/>
          </w:tcPr>
          <w:p>
            <w:pPr>
              <w:bidi w:val="1"/>
              <w:spacing w:before="20" w:after="20"/>
              <w:jc w:val="right"/>
            </w:pPr>
            <w:r/>
            <w:r>
              <w:rPr>
                <w:rFonts w:ascii="Tajawal" w:hAnsi="Tajawal" w:cs="Tajawal"/>
                <w:b w:val="0"/>
                <w:color w:val="333A36"/>
                <w:sz w:val="17"/>
                <w:szCs w:val="17"/>
                <w:rtl w:val="1"/>
              </w:rPr>
              <w:t>هندسة تغطية لكل مقدّم خدمة بفهرس مكاني.</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إظهار وقت الوصول التقريبي</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المرحلة ١</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من واجهة المسارات مع تخزين مؤقّت لخفض الاستهلاك.</w:t>
            </w:r>
          </w:p>
        </w:tc>
      </w:tr>
      <w:tr>
        <w:tc>
          <w:tcPr>
            <w:tcW w:type="dxa" w:w="3360"/>
          </w:tcPr>
          <w:p>
            <w:pPr>
              <w:bidi w:val="1"/>
              <w:spacing w:before="20" w:after="20"/>
              <w:jc w:val="right"/>
            </w:pPr>
            <w:r/>
            <w:r>
              <w:rPr>
                <w:rFonts w:ascii="Tajawal" w:hAnsi="Tajawal" w:cs="Tajawal"/>
                <w:b w:val="0"/>
                <w:color w:val="333A36"/>
                <w:sz w:val="17"/>
                <w:szCs w:val="17"/>
                <w:rtl w:val="1"/>
              </w:rPr>
              <w:t>تحديد مناطق عمل التطبيق من اللوحة</w:t>
            </w:r>
          </w:p>
        </w:tc>
        <w:tc>
          <w:tcPr>
            <w:tcW w:type="dxa" w:w="3360"/>
          </w:tcPr>
          <w:p>
            <w:pPr>
              <w:bidi w:val="1"/>
              <w:spacing w:before="20" w:after="20"/>
              <w:jc w:val="center"/>
            </w:pPr>
            <w:r/>
            <w:r>
              <w:rPr>
                <w:rFonts w:ascii="Tajawal" w:hAnsi="Tajawal" w:cs="Tajawal"/>
                <w:b w:val="0"/>
                <w:color w:val="333A36"/>
                <w:sz w:val="17"/>
                <w:szCs w:val="17"/>
                <w:rtl w:val="1"/>
              </w:rPr>
              <w:t>المرحلة ١</w:t>
            </w:r>
          </w:p>
        </w:tc>
        <w:tc>
          <w:tcPr>
            <w:tcW w:type="dxa" w:w="3360"/>
          </w:tcPr>
          <w:p>
            <w:pPr>
              <w:bidi w:val="1"/>
              <w:spacing w:before="20" w:after="20"/>
              <w:jc w:val="right"/>
            </w:pPr>
            <w:r/>
            <w:r>
              <w:rPr>
                <w:rFonts w:ascii="Tajawal" w:hAnsi="Tajawal" w:cs="Tajawal"/>
                <w:b w:val="0"/>
                <w:color w:val="333A36"/>
                <w:sz w:val="17"/>
                <w:szCs w:val="17"/>
                <w:rtl w:val="1"/>
              </w:rPr>
              <w:t>تفعيل وإيقاف أي منطقة أو خدمة داخل منطقة.</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تتبّع حركة مقدّم الخدمة بعد التوجّه</w:t>
            </w:r>
          </w:p>
        </w:tc>
        <w:tc>
          <w:tcPr>
            <w:tcW w:type="dxa" w:w="3360"/>
            <w:shd w:val="clear" w:color="auto" w:fill="F5F8F6"/>
          </w:tcPr>
          <w:p>
            <w:pPr>
              <w:bidi w:val="1"/>
              <w:spacing w:before="20" w:after="20"/>
              <w:jc w:val="center"/>
            </w:pPr>
            <w:r/>
            <w:r>
              <w:rPr>
                <w:rFonts w:ascii="Tajawal" w:hAnsi="Tajawal" w:cs="Tajawal"/>
                <w:b w:val="0"/>
                <w:color w:val="333A36"/>
                <w:sz w:val="17"/>
                <w:szCs w:val="17"/>
                <w:rtl w:val="1"/>
              </w:rPr>
              <w:t>المرحلة ٢</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بثّ موقع دوري مع ضوابط خصوصية وإيقاف تلقائي عند الوصول.</w:t>
            </w:r>
          </w:p>
        </w:tc>
      </w:tr>
    </w:tbl>
    <w:p>
      <w:pPr>
        <w:spacing w:after="60"/>
      </w:pPr>
    </w:p>
    <w:tbl>
      <w:tblPr>
        <w:tblStyle w:val="TableGrid"/>
        <w:bidiVisual w:val="1"/>
        <w:tblW w:type="auto" w:w="0"/>
        <w:jc w:val="right"/>
        <w:tblLook w:firstColumn="1" w:firstRow="1" w:lastColumn="0" w:lastRow="0" w:noHBand="0" w:noVBand="1" w:val="04A0"/>
      </w:tblPr>
      <w:tblGrid>
        <w:gridCol w:w="10080"/>
      </w:tblGrid>
      <w:tr>
        <w:tc>
          <w:tcPr>
            <w:tcW w:type="dxa" w:w="10080"/>
            <w:shd w:val="clear" w:color="auto" w:fill="FDF6E6"/>
          </w:tcPr>
          <w:p>
            <w:pPr>
              <w:bidi w:val="1"/>
              <w:spacing w:after="40" w:line="336" w:lineRule="auto"/>
              <w:jc w:val="right"/>
            </w:pPr>
            <w:r/>
            <w:r>
              <w:rPr>
                <w:rFonts w:ascii="Tajawal" w:hAnsi="Tajawal" w:cs="Tajawal"/>
                <w:b/>
                <w:color w:val="14512F"/>
                <w:sz w:val="19"/>
                <w:szCs w:val="19"/>
                <w:rtl w:val="1"/>
              </w:rPr>
              <w:t>ضابط خصوصية منصوص عليه</w:t>
            </w:r>
          </w:p>
          <w:p>
            <w:pPr>
              <w:bidi w:val="1"/>
              <w:spacing w:after="40" w:line="336" w:lineRule="auto"/>
              <w:jc w:val="right"/>
            </w:pPr>
            <w:r>
              <w:rPr>
                <w:rFonts w:ascii="Tajawal" w:hAnsi="Tajawal" w:cs="Tajawal"/>
                <w:b/>
                <w:color w:val="333A36"/>
                <w:sz w:val="18"/>
                <w:szCs w:val="18"/>
                <w:rtl w:val="1"/>
              </w:rPr>
              <w:t xml:space="preserve">لا يظهر الموقع الدقيق لمقدّم الخدمة قبل قبول الطلب </w:t>
            </w:r>
            <w:r>
              <w:rPr>
                <w:rFonts w:ascii="Tajawal" w:hAnsi="Tajawal" w:cs="Tajawal"/>
                <w:b w:val="0"/>
                <w:color w:val="333A36"/>
                <w:sz w:val="18"/>
                <w:szCs w:val="18"/>
                <w:rtl w:val="1"/>
              </w:rPr>
              <w:t xml:space="preserve">، ولا تظهر بيانات الاتصال الشخصية كاملة قبل قبوله للطلب. قبل ذلك يُعرض تقريب للمنطقة ونطاق مسافة فقط، لا إحداثيات. </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١٢ الهوية البصرية ونظام التصميم</w:t>
      </w:r>
    </w:p>
    <w:p>
      <w:pPr>
        <w:bidi w:val="1"/>
        <w:spacing w:after="140" w:line="348" w:lineRule="auto"/>
        <w:jc w:val="right"/>
      </w:pPr>
      <w:r>
        <w:rPr>
          <w:rFonts w:ascii="Tajawal" w:hAnsi="Tajawal" w:cs="Tajawal"/>
          <w:b w:val="0"/>
          <w:color w:val="5F6B65"/>
          <w:sz w:val="22"/>
          <w:szCs w:val="22"/>
          <w:rtl w:val="1"/>
        </w:rPr>
        <w:t xml:space="preserve">نظام التصميم أُقرّ ضمن النموذج التفاعلي المعتمد لمسار العميل، وهو المرجع البصري المُلزِم لمرحلة التطوير. ما يلي رموزه الأساسية. </w:t>
      </w:r>
    </w:p>
    <w:p>
      <w:pPr>
        <w:keepNext/>
        <w:bidi w:val="1"/>
        <w:spacing w:before="220" w:after="40"/>
        <w:jc w:val="right"/>
      </w:pPr>
      <w:r>
        <w:rPr>
          <w:rFonts w:ascii="Tajawal" w:hAnsi="Tajawal" w:cs="Tajawal"/>
          <w:b/>
          <w:color w:val="1D6B47"/>
          <w:sz w:val="24"/>
          <w:szCs w:val="24"/>
          <w:rtl w:val="1"/>
        </w:rPr>
        <w:t>١٢-١ لوحة الألوان</w:t>
      </w:r>
    </w:p>
    <w:p>
      <w:pPr>
        <w:jc w:val="center"/>
      </w:pPr>
      <w:r>
        <w:drawing>
          <wp:inline xmlns:a="http://schemas.openxmlformats.org/drawingml/2006/main" xmlns:pic="http://schemas.openxmlformats.org/drawingml/2006/picture">
            <wp:extent cx="5852160" cy="487680"/>
            <wp:docPr id="2" name="Picture 2"/>
            <wp:cNvGraphicFramePr>
              <a:graphicFrameLocks noChangeAspect="1"/>
            </wp:cNvGraphicFramePr>
            <a:graphic>
              <a:graphicData uri="http://schemas.openxmlformats.org/drawingml/2006/picture">
                <pic:pic>
                  <pic:nvPicPr>
                    <pic:cNvPr id="0" name="01-div_sw-0.png"/>
                    <pic:cNvPicPr/>
                  </pic:nvPicPr>
                  <pic:blipFill>
                    <a:blip r:embed="rId10"/>
                    <a:stretch>
                      <a:fillRect/>
                    </a:stretch>
                  </pic:blipFill>
                  <pic:spPr>
                    <a:xfrm>
                      <a:off x="0" y="0"/>
                      <a:ext cx="5852160" cy="487680"/>
                    </a:xfrm>
                    <a:prstGeom prst="rect"/>
                  </pic:spPr>
                </pic:pic>
              </a:graphicData>
            </a:graphic>
          </wp:inline>
        </w:drawing>
      </w:r>
    </w:p>
    <w:p>
      <w:pPr>
        <w:keepNext/>
        <w:bidi w:val="1"/>
        <w:spacing w:before="220" w:after="40"/>
        <w:jc w:val="right"/>
      </w:pPr>
      <w:r>
        <w:rPr>
          <w:rFonts w:ascii="Tajawal" w:hAnsi="Tajawal" w:cs="Tajawal"/>
          <w:b/>
          <w:color w:val="1D6B47"/>
          <w:sz w:val="24"/>
          <w:szCs w:val="24"/>
          <w:rtl w:val="1"/>
        </w:rPr>
        <w:t>١٢-٢ الطباعة والمقاسات</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العنصر</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القيمة</w:t>
            </w:r>
          </w:p>
        </w:tc>
        <w:tc>
          <w:tcPr>
            <w:tcW w:type="dxa" w:w="3360"/>
            <w:shd w:val="clear" w:color="auto" w:fill="14512F"/>
          </w:tcPr>
          <w:p>
            <w:pPr>
              <w:bidi w:val="1"/>
              <w:spacing w:before="20" w:after="20"/>
              <w:jc w:val="right"/>
            </w:pPr>
            <w:r/>
            <w:r>
              <w:rPr>
                <w:rFonts w:ascii="Tajawal" w:hAnsi="Tajawal" w:cs="Tajawal"/>
                <w:b/>
                <w:color w:val="FFFFFF"/>
                <w:sz w:val="17"/>
                <w:szCs w:val="17"/>
                <w:rtl w:val="1"/>
              </w:rPr>
              <w:t>ملاحظة</w:t>
            </w:r>
          </w:p>
        </w:tc>
      </w:tr>
      <w:tr>
        <w:tc>
          <w:tcPr>
            <w:tcW w:type="dxa" w:w="3360"/>
          </w:tcPr>
          <w:p>
            <w:pPr>
              <w:bidi w:val="1"/>
              <w:spacing w:before="20" w:after="20"/>
              <w:jc w:val="right"/>
            </w:pPr>
            <w:r/>
            <w:r>
              <w:rPr>
                <w:rFonts w:ascii="Tajawal" w:hAnsi="Tajawal" w:cs="Tajawal"/>
                <w:b w:val="0"/>
                <w:color w:val="333A36"/>
                <w:sz w:val="17"/>
                <w:szCs w:val="17"/>
                <w:rtl w:val="1"/>
              </w:rPr>
              <w:t>خط الواجهة</w:t>
            </w:r>
          </w:p>
        </w:tc>
        <w:tc>
          <w:tcPr>
            <w:tcW w:type="dxa" w:w="3360"/>
          </w:tcPr>
          <w:p>
            <w:pPr>
              <w:bidi w:val="1"/>
              <w:spacing w:before="20" w:after="20"/>
              <w:jc w:val="right"/>
            </w:pPr>
            <w:r/>
            <w:r>
              <w:rPr>
                <w:rFonts w:ascii="Tajawal" w:hAnsi="Tajawal" w:cs="Tajawal"/>
                <w:b w:val="0"/>
                <w:color w:val="333A36"/>
                <w:sz w:val="17"/>
                <w:szCs w:val="17"/>
                <w:rtl w:val="1"/>
              </w:rPr>
              <w:t>Tajawal</w:t>
            </w:r>
          </w:p>
        </w:tc>
        <w:tc>
          <w:tcPr>
            <w:tcW w:type="dxa" w:w="3360"/>
          </w:tcPr>
          <w:p>
            <w:pPr>
              <w:bidi w:val="1"/>
              <w:spacing w:before="20" w:after="20"/>
              <w:jc w:val="right"/>
            </w:pPr>
            <w:r/>
            <w:r>
              <w:rPr>
                <w:rFonts w:ascii="Tajawal" w:hAnsi="Tajawal" w:cs="Tajawal"/>
                <w:b w:val="0"/>
                <w:color w:val="333A36"/>
                <w:sz w:val="17"/>
                <w:szCs w:val="17"/>
                <w:rtl w:val="1"/>
              </w:rPr>
              <w:t>خط عربي هندسي واضح، يدعم أوزاناً من Light إلى Black.</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الخط اللاتيني المرافق</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Inter</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للأرقام اللاتينية والمصطلحات التقنية.</w:t>
            </w:r>
          </w:p>
        </w:tc>
      </w:tr>
      <w:tr>
        <w:tc>
          <w:tcPr>
            <w:tcW w:type="dxa" w:w="3360"/>
          </w:tcPr>
          <w:p>
            <w:pPr>
              <w:bidi w:val="1"/>
              <w:spacing w:before="20" w:after="20"/>
              <w:jc w:val="right"/>
            </w:pPr>
            <w:r/>
            <w:r>
              <w:rPr>
                <w:rFonts w:ascii="Tajawal" w:hAnsi="Tajawal" w:cs="Tajawal"/>
                <w:b w:val="0"/>
                <w:color w:val="333A36"/>
                <w:sz w:val="17"/>
                <w:szCs w:val="17"/>
                <w:rtl w:val="1"/>
              </w:rPr>
              <w:t>حجم النصّ الأساسي</w:t>
            </w:r>
          </w:p>
        </w:tc>
        <w:tc>
          <w:tcPr>
            <w:tcW w:type="dxa" w:w="3360"/>
          </w:tcPr>
          <w:p>
            <w:pPr>
              <w:bidi w:val="1"/>
              <w:spacing w:before="20" w:after="20"/>
              <w:jc w:val="right"/>
            </w:pPr>
            <w:r/>
            <w:r>
              <w:rPr>
                <w:rFonts w:ascii="Tajawal" w:hAnsi="Tajawal" w:cs="Tajawal"/>
                <w:b w:val="0"/>
                <w:color w:val="333A36"/>
                <w:sz w:val="17"/>
                <w:szCs w:val="17"/>
                <w:rtl w:val="1"/>
              </w:rPr>
              <w:t>١٦ نقطة كحدّ أدنى</w:t>
            </w:r>
          </w:p>
        </w:tc>
        <w:tc>
          <w:tcPr>
            <w:tcW w:type="dxa" w:w="3360"/>
          </w:tcPr>
          <w:p>
            <w:pPr>
              <w:bidi w:val="1"/>
              <w:spacing w:before="20" w:after="20"/>
              <w:jc w:val="right"/>
            </w:pPr>
            <w:r/>
            <w:r>
              <w:rPr>
                <w:rFonts w:ascii="Tajawal" w:hAnsi="Tajawal" w:cs="Tajawal"/>
                <w:b w:val="0"/>
                <w:color w:val="333A36"/>
                <w:sz w:val="17"/>
                <w:szCs w:val="17"/>
                <w:rtl w:val="1"/>
              </w:rPr>
              <w:t>مطلب مراعاة كبار السن.</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أهداف اللمس</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٤٨ نقطة كحدّ أدنى</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يقلّل الضغط الخاطئ.</w:t>
            </w:r>
          </w:p>
        </w:tc>
      </w:tr>
      <w:tr>
        <w:tc>
          <w:tcPr>
            <w:tcW w:type="dxa" w:w="3360"/>
          </w:tcPr>
          <w:p>
            <w:pPr>
              <w:bidi w:val="1"/>
              <w:spacing w:before="20" w:after="20"/>
              <w:jc w:val="right"/>
            </w:pPr>
            <w:r/>
            <w:r>
              <w:rPr>
                <w:rFonts w:ascii="Tajawal" w:hAnsi="Tajawal" w:cs="Tajawal"/>
                <w:b w:val="0"/>
                <w:color w:val="333A36"/>
                <w:sz w:val="17"/>
                <w:szCs w:val="17"/>
                <w:rtl w:val="1"/>
              </w:rPr>
              <w:t>التباين</w:t>
            </w:r>
          </w:p>
        </w:tc>
        <w:tc>
          <w:tcPr>
            <w:tcW w:type="dxa" w:w="3360"/>
          </w:tcPr>
          <w:p>
            <w:pPr>
              <w:bidi w:val="1"/>
              <w:spacing w:before="20" w:after="20"/>
              <w:jc w:val="right"/>
            </w:pPr>
            <w:r/>
            <w:r>
              <w:rPr>
                <w:rFonts w:ascii="Tajawal" w:hAnsi="Tajawal" w:cs="Tajawal"/>
                <w:b w:val="0"/>
                <w:color w:val="333A36"/>
                <w:sz w:val="17"/>
                <w:szCs w:val="17"/>
                <w:rtl w:val="1"/>
              </w:rPr>
              <w:t>WCAG AA</w:t>
            </w:r>
          </w:p>
        </w:tc>
        <w:tc>
          <w:tcPr>
            <w:tcW w:type="dxa" w:w="3360"/>
          </w:tcPr>
          <w:p>
            <w:pPr>
              <w:bidi w:val="1"/>
              <w:spacing w:before="20" w:after="20"/>
              <w:jc w:val="right"/>
            </w:pPr>
            <w:r/>
            <w:r>
              <w:rPr>
                <w:rFonts w:ascii="Tajawal" w:hAnsi="Tajawal" w:cs="Tajawal"/>
                <w:b w:val="0"/>
                <w:color w:val="333A36"/>
                <w:sz w:val="17"/>
                <w:szCs w:val="17"/>
                <w:rtl w:val="1"/>
              </w:rPr>
              <w:t>مُتحقَّق منه على كل تركيبات النصّ والخلفية.</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مقاس الشاشة المرجعي</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٣٩٠ × ٨٤٤</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مع تخطيط مرن من ٤٫٧ بوصة حتى الأجهزة اللوحية.</w:t>
            </w:r>
          </w:p>
        </w:tc>
      </w:tr>
      <w:tr>
        <w:tc>
          <w:tcPr>
            <w:tcW w:type="dxa" w:w="3360"/>
          </w:tcPr>
          <w:p>
            <w:pPr>
              <w:bidi w:val="1"/>
              <w:spacing w:before="20" w:after="20"/>
              <w:jc w:val="right"/>
            </w:pPr>
            <w:r/>
            <w:r>
              <w:rPr>
                <w:rFonts w:ascii="Tajawal" w:hAnsi="Tajawal" w:cs="Tajawal"/>
                <w:b w:val="0"/>
                <w:color w:val="333A36"/>
                <w:sz w:val="17"/>
                <w:szCs w:val="17"/>
                <w:rtl w:val="1"/>
              </w:rPr>
              <w:t>الأرقام</w:t>
            </w:r>
          </w:p>
        </w:tc>
        <w:tc>
          <w:tcPr>
            <w:tcW w:type="dxa" w:w="3360"/>
          </w:tcPr>
          <w:p>
            <w:pPr>
              <w:bidi w:val="1"/>
              <w:spacing w:before="20" w:after="20"/>
              <w:jc w:val="right"/>
            </w:pPr>
            <w:r/>
            <w:r>
              <w:rPr>
                <w:rFonts w:ascii="Tajawal" w:hAnsi="Tajawal" w:cs="Tajawal"/>
                <w:b w:val="0"/>
                <w:color w:val="333A36"/>
                <w:sz w:val="17"/>
                <w:szCs w:val="17"/>
                <w:rtl w:val="1"/>
              </w:rPr>
              <w:t>عربية-هندية ٠١٢٣</w:t>
            </w:r>
          </w:p>
        </w:tc>
        <w:tc>
          <w:tcPr>
            <w:tcW w:type="dxa" w:w="3360"/>
          </w:tcPr>
          <w:p>
            <w:pPr>
              <w:bidi w:val="1"/>
              <w:spacing w:before="20" w:after="20"/>
              <w:jc w:val="right"/>
            </w:pPr>
            <w:r/>
            <w:r>
              <w:rPr>
                <w:rFonts w:ascii="Tajawal" w:hAnsi="Tajawal" w:cs="Tajawal"/>
                <w:b w:val="0"/>
                <w:color w:val="333A36"/>
                <w:sz w:val="17"/>
                <w:szCs w:val="17"/>
                <w:rtl w:val="1"/>
              </w:rPr>
              <w:t>مع دعم البحث والإدخال بالنمطين.</w:t>
            </w:r>
          </w:p>
        </w:tc>
      </w:tr>
    </w:tbl>
    <w:p>
      <w:pPr>
        <w:spacing w:after="60"/>
      </w:pPr>
    </w:p>
    <w:p>
      <w:pPr>
        <w:keepNext/>
        <w:bidi w:val="1"/>
        <w:spacing w:before="220" w:after="40"/>
        <w:jc w:val="right"/>
      </w:pPr>
      <w:r>
        <w:rPr>
          <w:rFonts w:ascii="Tajawal" w:hAnsi="Tajawal" w:cs="Tajawal"/>
          <w:b/>
          <w:color w:val="1D6B47"/>
          <w:sz w:val="24"/>
          <w:szCs w:val="24"/>
          <w:rtl w:val="1"/>
        </w:rPr>
        <w:t>١٢-٣ صيغة المخاطبة</w:t>
      </w:r>
    </w:p>
    <w:tbl>
      <w:tblPr>
        <w:tblStyle w:val="TableGrid"/>
        <w:bidiVisual w:val="1"/>
        <w:tblW w:type="auto" w:w="0"/>
        <w:jc w:val="right"/>
        <w:tblLook w:firstColumn="1" w:firstRow="1" w:lastColumn="0" w:lastRow="0" w:noHBand="0" w:noVBand="1" w:val="04A0"/>
      </w:tblPr>
      <w:tblGrid>
        <w:gridCol w:w="10080"/>
      </w:tblGrid>
      <w:tr>
        <w:tc>
          <w:tcPr>
            <w:tcW w:type="dxa" w:w="10080"/>
            <w:shd w:val="clear" w:color="auto" w:fill="EEF3F0"/>
          </w:tcPr>
          <w:p>
            <w:pPr>
              <w:bidi w:val="1"/>
              <w:spacing w:after="40" w:line="336" w:lineRule="auto"/>
              <w:jc w:val="right"/>
            </w:pPr>
            <w:r/>
            <w:r>
              <w:rPr>
                <w:rFonts w:ascii="Tajawal" w:hAnsi="Tajawal" w:cs="Tajawal"/>
                <w:b/>
                <w:color w:val="14512F"/>
                <w:sz w:val="19"/>
                <w:szCs w:val="19"/>
                <w:rtl w:val="1"/>
              </w:rPr>
              <w:t>تفصيل لغوي مُعتمد في النموذج</w:t>
            </w:r>
          </w:p>
          <w:p>
            <w:pPr>
              <w:bidi w:val="1"/>
              <w:spacing w:after="40" w:line="336" w:lineRule="auto"/>
              <w:jc w:val="right"/>
            </w:pPr>
            <w:r>
              <w:rPr>
                <w:rFonts w:ascii="Tajawal" w:hAnsi="Tajawal" w:cs="Tajawal"/>
                <w:b w:val="0"/>
                <w:color w:val="333A36"/>
                <w:sz w:val="18"/>
                <w:szCs w:val="18"/>
                <w:rtl w:val="1"/>
              </w:rPr>
              <w:t xml:space="preserve">نصوص الواجهة افتراضياً بصيغة </w:t>
            </w:r>
            <w:r>
              <w:rPr>
                <w:rFonts w:ascii="Tajawal" w:hAnsi="Tajawal" w:cs="Tajawal"/>
                <w:b/>
                <w:color w:val="333A36"/>
                <w:sz w:val="18"/>
                <w:szCs w:val="18"/>
                <w:rtl w:val="1"/>
              </w:rPr>
              <w:t xml:space="preserve">المذكّر </w:t>
            </w:r>
            <w:r>
              <w:rPr>
                <w:rFonts w:ascii="Tajawal" w:hAnsi="Tajawal" w:cs="Tajawal"/>
                <w:b w:val="0"/>
                <w:color w:val="333A36"/>
                <w:sz w:val="18"/>
                <w:szCs w:val="18"/>
                <w:rtl w:val="1"/>
              </w:rPr>
              <w:t xml:space="preserve">، وتتحوّل تلقائياً إلى </w:t>
            </w:r>
            <w:r>
              <w:rPr>
                <w:rFonts w:ascii="Tajawal" w:hAnsi="Tajawal" w:cs="Tajawal"/>
                <w:b/>
                <w:color w:val="333A36"/>
                <w:sz w:val="18"/>
                <w:szCs w:val="18"/>
                <w:rtl w:val="1"/>
              </w:rPr>
              <w:t xml:space="preserve">المؤنّث </w:t>
            </w:r>
            <w:r>
              <w:rPr>
                <w:rFonts w:ascii="Tajawal" w:hAnsi="Tajawal" w:cs="Tajawal"/>
                <w:b w:val="0"/>
                <w:color w:val="333A36"/>
                <w:sz w:val="18"/>
                <w:szCs w:val="18"/>
                <w:rtl w:val="1"/>
              </w:rPr>
              <w:t xml:space="preserve">حين يكون جنس الحساب أنثى. هذا يقتضي أن تُخزَّن النصوص بصيغتين في ملفّات الترجمة لا بصيغة واحدة — وقد رُوعي ذلك في بنية التدويل منذ التصميم. </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١٣ تطبيق الهاتف — مسار العميل</w:t>
      </w:r>
    </w:p>
    <w:p>
      <w:pPr>
        <w:bidi w:val="1"/>
        <w:spacing w:after="140" w:line="348" w:lineRule="auto"/>
        <w:jc w:val="right"/>
      </w:pPr>
      <w:r>
        <w:rPr>
          <w:rFonts w:ascii="Tajawal" w:hAnsi="Tajawal" w:cs="Tajawal"/>
          <w:b w:val="0"/>
          <w:color w:val="5F6B65"/>
          <w:sz w:val="22"/>
          <w:szCs w:val="22"/>
          <w:rtl w:val="1"/>
        </w:rPr>
        <w:t xml:space="preserve">خمس عشرة شاشة تغطّي مسار العميل كاملاً، من الدخول حتى التقييم. الشاشات أدناه من النموذج التفاعلي المعتمد، وهي المرجع البصري المُلزِم للتطوير. </w:t>
      </w:r>
    </w:p>
    <w:tbl>
      <w:tblPr>
        <w:bidiVisual w:val="1"/>
        <w:tblW w:type="auto" w:w="0"/>
        <w:jc w:val="right"/>
        <w:tblLook w:firstColumn="1" w:firstRow="1" w:lastColumn="0" w:lastRow="0" w:noHBand="0" w:noVBand="1" w:val="04A0"/>
      </w:tblPr>
      <w:tblGrid>
        <w:gridCol w:w="2520"/>
        <w:gridCol w:w="2520"/>
        <w:gridCol w:w="2520"/>
        <w:gridCol w:w="2520"/>
      </w:tblGrid>
      <w:tr>
        <w:tc>
          <w:tcPr>
            <w:tcW w:type="dxa" w:w="2520"/>
          </w:tcPr>
          <w:p>
            <w:pPr>
              <w:bidi w:val="1"/>
              <w:jc w:val="right"/>
            </w:pPr>
            <w:r/>
            <w:r>
              <w:drawing>
                <wp:inline xmlns:a="http://schemas.openxmlformats.org/drawingml/2006/main" xmlns:pic="http://schemas.openxmlformats.org/drawingml/2006/picture">
                  <wp:extent cx="1280160" cy="2770397"/>
                  <wp:docPr id="3" name="Picture 3"/>
                  <wp:cNvGraphicFramePr>
                    <a:graphicFrameLocks noChangeAspect="1"/>
                  </wp:cNvGraphicFramePr>
                  <a:graphic>
                    <a:graphicData uri="http://schemas.openxmlformats.org/drawingml/2006/picture">
                      <pic:pic>
                        <pic:nvPicPr>
                          <pic:cNvPr id="0" name="01-login.png"/>
                          <pic:cNvPicPr/>
                        </pic:nvPicPr>
                        <pic:blipFill>
                          <a:blip r:embed="rId11"/>
                          <a:stretch>
                            <a:fillRect/>
                          </a:stretch>
                        </pic:blipFill>
                        <pic:spPr>
                          <a:xfrm>
                            <a:off x="0" y="0"/>
                            <a:ext cx="1280160" cy="2770397"/>
                          </a:xfrm>
                          <a:prstGeom prst="rect"/>
                        </pic:spPr>
                      </pic:pic>
                    </a:graphicData>
                  </a:graphic>
                </wp:inline>
              </w:drawing>
            </w:r>
          </w:p>
        </w:tc>
        <w:tc>
          <w:tcPr>
            <w:tcW w:type="dxa" w:w="2520"/>
          </w:tcPr>
          <w:p>
            <w:pPr>
              <w:bidi w:val="1"/>
              <w:jc w:val="right"/>
            </w:pPr>
            <w:r/>
            <w:r>
              <w:drawing>
                <wp:inline xmlns:a="http://schemas.openxmlformats.org/drawingml/2006/main" xmlns:pic="http://schemas.openxmlformats.org/drawingml/2006/picture">
                  <wp:extent cx="1280160" cy="2770397"/>
                  <wp:docPr id="4" name="Picture 4"/>
                  <wp:cNvGraphicFramePr>
                    <a:graphicFrameLocks noChangeAspect="1"/>
                  </wp:cNvGraphicFramePr>
                  <a:graphic>
                    <a:graphicData uri="http://schemas.openxmlformats.org/drawingml/2006/picture">
                      <pic:pic>
                        <pic:nvPicPr>
                          <pic:cNvPr id="0" name="02-phone.png"/>
                          <pic:cNvPicPr/>
                        </pic:nvPicPr>
                        <pic:blipFill>
                          <a:blip r:embed="rId12"/>
                          <a:stretch>
                            <a:fillRect/>
                          </a:stretch>
                        </pic:blipFill>
                        <pic:spPr>
                          <a:xfrm>
                            <a:off x="0" y="0"/>
                            <a:ext cx="1280160" cy="2770397"/>
                          </a:xfrm>
                          <a:prstGeom prst="rect"/>
                        </pic:spPr>
                      </pic:pic>
                    </a:graphicData>
                  </a:graphic>
                </wp:inline>
              </w:drawing>
            </w:r>
          </w:p>
        </w:tc>
        <w:tc>
          <w:tcPr>
            <w:tcW w:type="dxa" w:w="2520"/>
          </w:tcPr>
          <w:p>
            <w:pPr>
              <w:bidi w:val="1"/>
              <w:jc w:val="right"/>
            </w:pPr>
            <w:r/>
            <w:r>
              <w:drawing>
                <wp:inline xmlns:a="http://schemas.openxmlformats.org/drawingml/2006/main" xmlns:pic="http://schemas.openxmlformats.org/drawingml/2006/picture">
                  <wp:extent cx="1280160" cy="2770397"/>
                  <wp:docPr id="5" name="Picture 5"/>
                  <wp:cNvGraphicFramePr>
                    <a:graphicFrameLocks noChangeAspect="1"/>
                  </wp:cNvGraphicFramePr>
                  <a:graphic>
                    <a:graphicData uri="http://schemas.openxmlformats.org/drawingml/2006/picture">
                      <pic:pic>
                        <pic:nvPicPr>
                          <pic:cNvPr id="0" name="03-otp.png"/>
                          <pic:cNvPicPr/>
                        </pic:nvPicPr>
                        <pic:blipFill>
                          <a:blip r:embed="rId13"/>
                          <a:stretch>
                            <a:fillRect/>
                          </a:stretch>
                        </pic:blipFill>
                        <pic:spPr>
                          <a:xfrm>
                            <a:off x="0" y="0"/>
                            <a:ext cx="1280160" cy="2770397"/>
                          </a:xfrm>
                          <a:prstGeom prst="rect"/>
                        </pic:spPr>
                      </pic:pic>
                    </a:graphicData>
                  </a:graphic>
                </wp:inline>
              </w:drawing>
            </w:r>
          </w:p>
        </w:tc>
        <w:tc>
          <w:tcPr>
            <w:tcW w:type="dxa" w:w="2520"/>
          </w:tcPr>
          <w:p>
            <w:pPr>
              <w:bidi w:val="1"/>
              <w:jc w:val="right"/>
            </w:pPr>
            <w:r/>
            <w:r>
              <w:drawing>
                <wp:inline xmlns:a="http://schemas.openxmlformats.org/drawingml/2006/main" xmlns:pic="http://schemas.openxmlformats.org/drawingml/2006/picture">
                  <wp:extent cx="1280160" cy="2770397"/>
                  <wp:docPr id="6" name="Picture 6"/>
                  <wp:cNvGraphicFramePr>
                    <a:graphicFrameLocks noChangeAspect="1"/>
                  </wp:cNvGraphicFramePr>
                  <a:graphic>
                    <a:graphicData uri="http://schemas.openxmlformats.org/drawingml/2006/picture">
                      <pic:pic>
                        <pic:nvPicPr>
                          <pic:cNvPr id="0" name="04-profile.png"/>
                          <pic:cNvPicPr/>
                        </pic:nvPicPr>
                        <pic:blipFill>
                          <a:blip r:embed="rId14"/>
                          <a:stretch>
                            <a:fillRect/>
                          </a:stretch>
                        </pic:blipFill>
                        <pic:spPr>
                          <a:xfrm>
                            <a:off x="0" y="0"/>
                            <a:ext cx="1280160" cy="2770397"/>
                          </a:xfrm>
                          <a:prstGeom prst="rect"/>
                        </pic:spPr>
                      </pic:pic>
                    </a:graphicData>
                  </a:graphic>
                </wp:inline>
              </w:drawing>
            </w:r>
          </w:p>
        </w:tc>
      </w:tr>
      <w:tr>
        <w:tc>
          <w:tcPr>
            <w:tcW w:type="dxa" w:w="2520"/>
          </w:tcPr>
          <w:p>
            <w:pPr>
              <w:bidi w:val="1"/>
              <w:spacing w:before="20" w:after="20"/>
              <w:jc w:val="center"/>
            </w:pPr>
            <w:r/>
            <w:r>
              <w:rPr>
                <w:rFonts w:ascii="Tajawal" w:hAnsi="Tajawal" w:cs="Tajawal"/>
                <w:b w:val="0"/>
                <w:color w:val="5F6B65"/>
                <w:sz w:val="15"/>
                <w:szCs w:val="15"/>
                <w:rtl w:val="1"/>
              </w:rPr>
              <w:t>٠١ · الدخول واللغةاختيار اللغة قبل أي خطوة</w:t>
            </w:r>
          </w:p>
        </w:tc>
        <w:tc>
          <w:tcPr>
            <w:tcW w:type="dxa" w:w="2520"/>
          </w:tcPr>
          <w:p>
            <w:pPr>
              <w:bidi w:val="1"/>
              <w:spacing w:before="20" w:after="20"/>
              <w:jc w:val="center"/>
            </w:pPr>
            <w:r/>
            <w:r>
              <w:rPr>
                <w:rFonts w:ascii="Tajawal" w:hAnsi="Tajawal" w:cs="Tajawal"/>
                <w:b w:val="0"/>
                <w:color w:val="5F6B65"/>
                <w:sz w:val="15"/>
                <w:szCs w:val="15"/>
                <w:rtl w:val="1"/>
              </w:rPr>
              <w:t>٠٢ · رقم الهاتفإدخال الرقم وإرسال الرمز</w:t>
            </w:r>
          </w:p>
        </w:tc>
        <w:tc>
          <w:tcPr>
            <w:tcW w:type="dxa" w:w="2520"/>
          </w:tcPr>
          <w:p>
            <w:pPr>
              <w:bidi w:val="1"/>
              <w:spacing w:before="20" w:after="20"/>
              <w:jc w:val="center"/>
            </w:pPr>
            <w:r/>
            <w:r>
              <w:rPr>
                <w:rFonts w:ascii="Tajawal" w:hAnsi="Tajawal" w:cs="Tajawal"/>
                <w:b w:val="0"/>
                <w:color w:val="5F6B65"/>
                <w:sz w:val="15"/>
                <w:szCs w:val="15"/>
                <w:rtl w:val="1"/>
              </w:rPr>
              <w:t>٠٣ · رمز التحققمؤقّت إعادة الإرسال</w:t>
            </w:r>
          </w:p>
        </w:tc>
        <w:tc>
          <w:tcPr>
            <w:tcW w:type="dxa" w:w="2520"/>
          </w:tcPr>
          <w:p>
            <w:pPr>
              <w:bidi w:val="1"/>
              <w:spacing w:before="20" w:after="20"/>
              <w:jc w:val="center"/>
            </w:pPr>
            <w:r/>
            <w:r>
              <w:rPr>
                <w:rFonts w:ascii="Tajawal" w:hAnsi="Tajawal" w:cs="Tajawal"/>
                <w:b w:val="0"/>
                <w:color w:val="5F6B65"/>
                <w:sz w:val="15"/>
                <w:szCs w:val="15"/>
                <w:rtl w:val="1"/>
              </w:rPr>
              <w:t>٠٤ · البيانات والأذوناتالموقع والإشعارات</w:t>
            </w:r>
          </w:p>
        </w:tc>
      </w:tr>
    </w:tbl>
    <w:p>
      <w:pPr>
        <w:spacing w:after="60"/>
      </w:pPr>
    </w:p>
    <w:tbl>
      <w:tblPr>
        <w:bidiVisual w:val="1"/>
        <w:tblW w:type="auto" w:w="0"/>
        <w:jc w:val="right"/>
        <w:tblLook w:firstColumn="1" w:firstRow="1" w:lastColumn="0" w:lastRow="0" w:noHBand="0" w:noVBand="1" w:val="04A0"/>
      </w:tblPr>
      <w:tblGrid>
        <w:gridCol w:w="2520"/>
        <w:gridCol w:w="2520"/>
        <w:gridCol w:w="2520"/>
        <w:gridCol w:w="2520"/>
      </w:tblGrid>
      <w:tr>
        <w:tc>
          <w:tcPr>
            <w:tcW w:type="dxa" w:w="2520"/>
          </w:tcPr>
          <w:p>
            <w:pPr>
              <w:bidi w:val="1"/>
              <w:jc w:val="right"/>
            </w:pPr>
            <w:r/>
            <w:r>
              <w:drawing>
                <wp:inline xmlns:a="http://schemas.openxmlformats.org/drawingml/2006/main" xmlns:pic="http://schemas.openxmlformats.org/drawingml/2006/picture">
                  <wp:extent cx="1280160" cy="2770397"/>
                  <wp:docPr id="7" name="Picture 7"/>
                  <wp:cNvGraphicFramePr>
                    <a:graphicFrameLocks noChangeAspect="1"/>
                  </wp:cNvGraphicFramePr>
                  <a:graphic>
                    <a:graphicData uri="http://schemas.openxmlformats.org/drawingml/2006/picture">
                      <pic:pic>
                        <pic:nvPicPr>
                          <pic:cNvPr id="0" name="05-home.png"/>
                          <pic:cNvPicPr/>
                        </pic:nvPicPr>
                        <pic:blipFill>
                          <a:blip r:embed="rId15"/>
                          <a:stretch>
                            <a:fillRect/>
                          </a:stretch>
                        </pic:blipFill>
                        <pic:spPr>
                          <a:xfrm>
                            <a:off x="0" y="0"/>
                            <a:ext cx="1280160" cy="2770397"/>
                          </a:xfrm>
                          <a:prstGeom prst="rect"/>
                        </pic:spPr>
                      </pic:pic>
                    </a:graphicData>
                  </a:graphic>
                </wp:inline>
              </w:drawing>
            </w:r>
          </w:p>
        </w:tc>
        <w:tc>
          <w:tcPr>
            <w:tcW w:type="dxa" w:w="2520"/>
          </w:tcPr>
          <w:p>
            <w:pPr>
              <w:bidi w:val="1"/>
              <w:jc w:val="right"/>
            </w:pPr>
            <w:r/>
            <w:r>
              <w:drawing>
                <wp:inline xmlns:a="http://schemas.openxmlformats.org/drawingml/2006/main" xmlns:pic="http://schemas.openxmlformats.org/drawingml/2006/picture">
                  <wp:extent cx="1280160" cy="2770397"/>
                  <wp:docPr id="8" name="Picture 8"/>
                  <wp:cNvGraphicFramePr>
                    <a:graphicFrameLocks noChangeAspect="1"/>
                  </wp:cNvGraphicFramePr>
                  <a:graphic>
                    <a:graphicData uri="http://schemas.openxmlformats.org/drawingml/2006/picture">
                      <pic:pic>
                        <pic:nvPicPr>
                          <pic:cNvPr id="0" name="06-categories.png"/>
                          <pic:cNvPicPr/>
                        </pic:nvPicPr>
                        <pic:blipFill>
                          <a:blip r:embed="rId16"/>
                          <a:stretch>
                            <a:fillRect/>
                          </a:stretch>
                        </pic:blipFill>
                        <pic:spPr>
                          <a:xfrm>
                            <a:off x="0" y="0"/>
                            <a:ext cx="1280160" cy="2770397"/>
                          </a:xfrm>
                          <a:prstGeom prst="rect"/>
                        </pic:spPr>
                      </pic:pic>
                    </a:graphicData>
                  </a:graphic>
                </wp:inline>
              </w:drawing>
            </w:r>
          </w:p>
        </w:tc>
        <w:tc>
          <w:tcPr>
            <w:tcW w:type="dxa" w:w="2520"/>
          </w:tcPr>
          <w:p>
            <w:pPr>
              <w:bidi w:val="1"/>
              <w:jc w:val="right"/>
            </w:pPr>
            <w:r/>
            <w:r>
              <w:drawing>
                <wp:inline xmlns:a="http://schemas.openxmlformats.org/drawingml/2006/main" xmlns:pic="http://schemas.openxmlformats.org/drawingml/2006/picture">
                  <wp:extent cx="1280160" cy="2770397"/>
                  <wp:docPr id="9" name="Picture 9"/>
                  <wp:cNvGraphicFramePr>
                    <a:graphicFrameLocks noChangeAspect="1"/>
                  </wp:cNvGraphicFramePr>
                  <a:graphic>
                    <a:graphicData uri="http://schemas.openxmlformats.org/drawingml/2006/picture">
                      <pic:pic>
                        <pic:nvPicPr>
                          <pic:cNvPr id="0" name="07-wizard.png"/>
                          <pic:cNvPicPr/>
                        </pic:nvPicPr>
                        <pic:blipFill>
                          <a:blip r:embed="rId17"/>
                          <a:stretch>
                            <a:fillRect/>
                          </a:stretch>
                        </pic:blipFill>
                        <pic:spPr>
                          <a:xfrm>
                            <a:off x="0" y="0"/>
                            <a:ext cx="1280160" cy="2770397"/>
                          </a:xfrm>
                          <a:prstGeom prst="rect"/>
                        </pic:spPr>
                      </pic:pic>
                    </a:graphicData>
                  </a:graphic>
                </wp:inline>
              </w:drawing>
            </w:r>
          </w:p>
        </w:tc>
        <w:tc>
          <w:tcPr>
            <w:tcW w:type="dxa" w:w="2520"/>
          </w:tcPr>
          <w:p>
            <w:pPr>
              <w:bidi w:val="1"/>
              <w:jc w:val="right"/>
            </w:pPr>
            <w:r/>
            <w:r>
              <w:drawing>
                <wp:inline xmlns:a="http://schemas.openxmlformats.org/drawingml/2006/main" xmlns:pic="http://schemas.openxmlformats.org/drawingml/2006/picture">
                  <wp:extent cx="1280160" cy="2770397"/>
                  <wp:docPr id="10" name="Picture 10"/>
                  <wp:cNvGraphicFramePr>
                    <a:graphicFrameLocks noChangeAspect="1"/>
                  </wp:cNvGraphicFramePr>
                  <a:graphic>
                    <a:graphicData uri="http://schemas.openxmlformats.org/drawingml/2006/picture">
                      <pic:pic>
                        <pic:nvPicPr>
                          <pic:cNvPr id="0" name="08-waiting.png"/>
                          <pic:cNvPicPr/>
                        </pic:nvPicPr>
                        <pic:blipFill>
                          <a:blip r:embed="rId18"/>
                          <a:stretch>
                            <a:fillRect/>
                          </a:stretch>
                        </pic:blipFill>
                        <pic:spPr>
                          <a:xfrm>
                            <a:off x="0" y="0"/>
                            <a:ext cx="1280160" cy="2770397"/>
                          </a:xfrm>
                          <a:prstGeom prst="rect"/>
                        </pic:spPr>
                      </pic:pic>
                    </a:graphicData>
                  </a:graphic>
                </wp:inline>
              </w:drawing>
            </w:r>
          </w:p>
        </w:tc>
      </w:tr>
      <w:tr>
        <w:tc>
          <w:tcPr>
            <w:tcW w:type="dxa" w:w="2520"/>
          </w:tcPr>
          <w:p>
            <w:pPr>
              <w:bidi w:val="1"/>
              <w:spacing w:before="20" w:after="20"/>
              <w:jc w:val="center"/>
            </w:pPr>
            <w:r/>
            <w:r>
              <w:rPr>
                <w:rFonts w:ascii="Tajawal" w:hAnsi="Tajawal" w:cs="Tajawal"/>
                <w:b w:val="0"/>
                <w:color w:val="5F6B65"/>
                <w:sz w:val="15"/>
                <w:szCs w:val="15"/>
                <w:rtl w:val="1"/>
              </w:rPr>
              <w:t>٠٥ · الرئيسيةالتصنيفات والخدمة الطارئة</w:t>
            </w:r>
          </w:p>
        </w:tc>
        <w:tc>
          <w:tcPr>
            <w:tcW w:type="dxa" w:w="2520"/>
          </w:tcPr>
          <w:p>
            <w:pPr>
              <w:bidi w:val="1"/>
              <w:spacing w:before="20" w:after="20"/>
              <w:jc w:val="center"/>
            </w:pPr>
            <w:r/>
            <w:r>
              <w:rPr>
                <w:rFonts w:ascii="Tajawal" w:hAnsi="Tajawal" w:cs="Tajawal"/>
                <w:b w:val="0"/>
                <w:color w:val="5F6B65"/>
                <w:sz w:val="15"/>
                <w:szCs w:val="15"/>
                <w:rtl w:val="1"/>
              </w:rPr>
              <w:t>٠٦ · التصنيفات والخدمةتصفّح وتفاصيل الخدمة</w:t>
            </w:r>
          </w:p>
        </w:tc>
        <w:tc>
          <w:tcPr>
            <w:tcW w:type="dxa" w:w="2520"/>
          </w:tcPr>
          <w:p>
            <w:pPr>
              <w:bidi w:val="1"/>
              <w:spacing w:before="20" w:after="20"/>
              <w:jc w:val="center"/>
            </w:pPr>
            <w:r/>
            <w:r>
              <w:rPr>
                <w:rFonts w:ascii="Tajawal" w:hAnsi="Tajawal" w:cs="Tajawal"/>
                <w:b w:val="0"/>
                <w:color w:val="5F6B65"/>
                <w:sz w:val="15"/>
                <w:szCs w:val="15"/>
                <w:rtl w:val="1"/>
              </w:rPr>
              <w:t>٠٧ · معالج الطلبالوصف والصور والموعد</w:t>
            </w:r>
          </w:p>
        </w:tc>
        <w:tc>
          <w:tcPr>
            <w:tcW w:type="dxa" w:w="2520"/>
          </w:tcPr>
          <w:p>
            <w:pPr>
              <w:bidi w:val="1"/>
              <w:spacing w:before="20" w:after="20"/>
              <w:jc w:val="center"/>
            </w:pPr>
            <w:r/>
            <w:r>
              <w:rPr>
                <w:rFonts w:ascii="Tajawal" w:hAnsi="Tajawal" w:cs="Tajawal"/>
                <w:b w:val="0"/>
                <w:color w:val="5F6B65"/>
                <w:sz w:val="15"/>
                <w:szCs w:val="15"/>
                <w:rtl w:val="1"/>
              </w:rPr>
              <w:t>٠٨ · بانتظار العروضحالة التوزيع</w:t>
            </w:r>
          </w:p>
        </w:tc>
      </w:tr>
    </w:tbl>
    <w:p>
      <w:pPr>
        <w:spacing w:after="60"/>
      </w:pPr>
    </w:p>
    <w:tbl>
      <w:tblPr>
        <w:bidiVisual w:val="1"/>
        <w:tblW w:type="auto" w:w="0"/>
        <w:jc w:val="right"/>
        <w:tblLook w:firstColumn="1" w:firstRow="1" w:lastColumn="0" w:lastRow="0" w:noHBand="0" w:noVBand="1" w:val="04A0"/>
      </w:tblPr>
      <w:tblGrid>
        <w:gridCol w:w="2520"/>
        <w:gridCol w:w="2520"/>
        <w:gridCol w:w="2520"/>
        <w:gridCol w:w="2520"/>
      </w:tblGrid>
      <w:tr>
        <w:tc>
          <w:tcPr>
            <w:tcW w:type="dxa" w:w="2520"/>
          </w:tcPr>
          <w:p>
            <w:pPr>
              <w:bidi w:val="1"/>
              <w:jc w:val="right"/>
            </w:pPr>
            <w:r/>
            <w:r>
              <w:drawing>
                <wp:inline xmlns:a="http://schemas.openxmlformats.org/drawingml/2006/main" xmlns:pic="http://schemas.openxmlformats.org/drawingml/2006/picture">
                  <wp:extent cx="1280160" cy="2770397"/>
                  <wp:docPr id="11" name="Picture 11"/>
                  <wp:cNvGraphicFramePr>
                    <a:graphicFrameLocks noChangeAspect="1"/>
                  </wp:cNvGraphicFramePr>
                  <a:graphic>
                    <a:graphicData uri="http://schemas.openxmlformats.org/drawingml/2006/picture">
                      <pic:pic>
                        <pic:nvPicPr>
                          <pic:cNvPr id="0" name="09-quotes.png"/>
                          <pic:cNvPicPr/>
                        </pic:nvPicPr>
                        <pic:blipFill>
                          <a:blip r:embed="rId19"/>
                          <a:stretch>
                            <a:fillRect/>
                          </a:stretch>
                        </pic:blipFill>
                        <pic:spPr>
                          <a:xfrm>
                            <a:off x="0" y="0"/>
                            <a:ext cx="1280160" cy="2770397"/>
                          </a:xfrm>
                          <a:prstGeom prst="rect"/>
                        </pic:spPr>
                      </pic:pic>
                    </a:graphicData>
                  </a:graphic>
                </wp:inline>
              </w:drawing>
            </w:r>
          </w:p>
        </w:tc>
        <w:tc>
          <w:tcPr>
            <w:tcW w:type="dxa" w:w="2520"/>
          </w:tcPr>
          <w:p>
            <w:pPr>
              <w:bidi w:val="1"/>
              <w:jc w:val="right"/>
            </w:pPr>
            <w:r/>
            <w:r>
              <w:drawing>
                <wp:inline xmlns:a="http://schemas.openxmlformats.org/drawingml/2006/main" xmlns:pic="http://schemas.openxmlformats.org/drawingml/2006/picture">
                  <wp:extent cx="1280160" cy="2770397"/>
                  <wp:docPr id="12" name="Picture 12"/>
                  <wp:cNvGraphicFramePr>
                    <a:graphicFrameLocks noChangeAspect="1"/>
                  </wp:cNvGraphicFramePr>
                  <a:graphic>
                    <a:graphicData uri="http://schemas.openxmlformats.org/drawingml/2006/picture">
                      <pic:pic>
                        <pic:nvPicPr>
                          <pic:cNvPr id="0" name="10-tracking.png"/>
                          <pic:cNvPicPr/>
                        </pic:nvPicPr>
                        <pic:blipFill>
                          <a:blip r:embed="rId20"/>
                          <a:stretch>
                            <a:fillRect/>
                          </a:stretch>
                        </pic:blipFill>
                        <pic:spPr>
                          <a:xfrm>
                            <a:off x="0" y="0"/>
                            <a:ext cx="1280160" cy="2770397"/>
                          </a:xfrm>
                          <a:prstGeom prst="rect"/>
                        </pic:spPr>
                      </pic:pic>
                    </a:graphicData>
                  </a:graphic>
                </wp:inline>
              </w:drawing>
            </w:r>
          </w:p>
        </w:tc>
        <w:tc>
          <w:tcPr>
            <w:tcW w:type="dxa" w:w="2520"/>
          </w:tcPr>
          <w:p>
            <w:pPr>
              <w:bidi w:val="1"/>
              <w:jc w:val="right"/>
            </w:pPr>
            <w:r/>
            <w:r>
              <w:drawing>
                <wp:inline xmlns:a="http://schemas.openxmlformats.org/drawingml/2006/main" xmlns:pic="http://schemas.openxmlformats.org/drawingml/2006/picture">
                  <wp:extent cx="1280160" cy="2770397"/>
                  <wp:docPr id="13" name="Picture 13"/>
                  <wp:cNvGraphicFramePr>
                    <a:graphicFrameLocks noChangeAspect="1"/>
                  </wp:cNvGraphicFramePr>
                  <a:graphic>
                    <a:graphicData uri="http://schemas.openxmlformats.org/drawingml/2006/picture">
                      <pic:pic>
                        <pic:nvPicPr>
                          <pic:cNvPr id="0" name="11-chat.png"/>
                          <pic:cNvPicPr/>
                        </pic:nvPicPr>
                        <pic:blipFill>
                          <a:blip r:embed="rId21"/>
                          <a:stretch>
                            <a:fillRect/>
                          </a:stretch>
                        </pic:blipFill>
                        <pic:spPr>
                          <a:xfrm>
                            <a:off x="0" y="0"/>
                            <a:ext cx="1280160" cy="2770397"/>
                          </a:xfrm>
                          <a:prstGeom prst="rect"/>
                        </pic:spPr>
                      </pic:pic>
                    </a:graphicData>
                  </a:graphic>
                </wp:inline>
              </w:drawing>
            </w:r>
          </w:p>
        </w:tc>
        <w:tc>
          <w:tcPr>
            <w:tcW w:type="dxa" w:w="2520"/>
          </w:tcPr>
          <w:p>
            <w:pPr>
              <w:bidi w:val="1"/>
              <w:jc w:val="right"/>
            </w:pPr>
            <w:r/>
            <w:r>
              <w:drawing>
                <wp:inline xmlns:a="http://schemas.openxmlformats.org/drawingml/2006/main" xmlns:pic="http://schemas.openxmlformats.org/drawingml/2006/picture">
                  <wp:extent cx="1280160" cy="2770397"/>
                  <wp:docPr id="14" name="Picture 14"/>
                  <wp:cNvGraphicFramePr>
                    <a:graphicFrameLocks noChangeAspect="1"/>
                  </wp:cNvGraphicFramePr>
                  <a:graphic>
                    <a:graphicData uri="http://schemas.openxmlformats.org/drawingml/2006/picture">
                      <pic:pic>
                        <pic:nvPicPr>
                          <pic:cNvPr id="0" name="12-invoice.png"/>
                          <pic:cNvPicPr/>
                        </pic:nvPicPr>
                        <pic:blipFill>
                          <a:blip r:embed="rId22"/>
                          <a:stretch>
                            <a:fillRect/>
                          </a:stretch>
                        </pic:blipFill>
                        <pic:spPr>
                          <a:xfrm>
                            <a:off x="0" y="0"/>
                            <a:ext cx="1280160" cy="2770397"/>
                          </a:xfrm>
                          <a:prstGeom prst="rect"/>
                        </pic:spPr>
                      </pic:pic>
                    </a:graphicData>
                  </a:graphic>
                </wp:inline>
              </w:drawing>
            </w:r>
          </w:p>
        </w:tc>
      </w:tr>
      <w:tr>
        <w:tc>
          <w:tcPr>
            <w:tcW w:type="dxa" w:w="2520"/>
          </w:tcPr>
          <w:p>
            <w:pPr>
              <w:bidi w:val="1"/>
              <w:spacing w:before="20" w:after="20"/>
              <w:jc w:val="center"/>
            </w:pPr>
            <w:r/>
            <w:r>
              <w:rPr>
                <w:rFonts w:ascii="Tajawal" w:hAnsi="Tajawal" w:cs="Tajawal"/>
                <w:b w:val="0"/>
                <w:color w:val="5F6B65"/>
                <w:sz w:val="15"/>
                <w:szCs w:val="15"/>
                <w:rtl w:val="1"/>
              </w:rPr>
              <w:t>٠٩ · العروض والمقارنةمقارنة مقدّمي الخدمة</w:t>
            </w:r>
          </w:p>
        </w:tc>
        <w:tc>
          <w:tcPr>
            <w:tcW w:type="dxa" w:w="2520"/>
          </w:tcPr>
          <w:p>
            <w:pPr>
              <w:bidi w:val="1"/>
              <w:spacing w:before="20" w:after="20"/>
              <w:jc w:val="center"/>
            </w:pPr>
            <w:r/>
            <w:r>
              <w:rPr>
                <w:rFonts w:ascii="Tajawal" w:hAnsi="Tajawal" w:cs="Tajawal"/>
                <w:b w:val="0"/>
                <w:color w:val="5F6B65"/>
                <w:sz w:val="15"/>
                <w:szCs w:val="15"/>
                <w:rtl w:val="1"/>
              </w:rPr>
              <w:t>١٠ · متابعة التنفيذتدرّج حالة الطلب</w:t>
            </w:r>
          </w:p>
        </w:tc>
        <w:tc>
          <w:tcPr>
            <w:tcW w:type="dxa" w:w="2520"/>
          </w:tcPr>
          <w:p>
            <w:pPr>
              <w:bidi w:val="1"/>
              <w:spacing w:before="20" w:after="20"/>
              <w:jc w:val="center"/>
            </w:pPr>
            <w:r/>
            <w:r>
              <w:rPr>
                <w:rFonts w:ascii="Tajawal" w:hAnsi="Tajawal" w:cs="Tajawal"/>
                <w:b w:val="0"/>
                <w:color w:val="5F6B65"/>
                <w:sz w:val="15"/>
                <w:szCs w:val="15"/>
                <w:rtl w:val="1"/>
              </w:rPr>
              <w:t>١١ · المحادثةتواصل داخل الطلب</w:t>
            </w:r>
          </w:p>
        </w:tc>
        <w:tc>
          <w:tcPr>
            <w:tcW w:type="dxa" w:w="2520"/>
          </w:tcPr>
          <w:p>
            <w:pPr>
              <w:bidi w:val="1"/>
              <w:spacing w:before="20" w:after="20"/>
              <w:jc w:val="center"/>
            </w:pPr>
            <w:r/>
            <w:r>
              <w:rPr>
                <w:rFonts w:ascii="Tajawal" w:hAnsi="Tajawal" w:cs="Tajawal"/>
                <w:b w:val="0"/>
                <w:color w:val="5F6B65"/>
                <w:sz w:val="15"/>
                <w:szCs w:val="15"/>
                <w:rtl w:val="1"/>
              </w:rPr>
              <w:t>١٢ · الفاتورةتفصيل البنود والعمولة</w:t>
            </w:r>
          </w:p>
        </w:tc>
      </w:tr>
    </w:tbl>
    <w:p>
      <w:pPr>
        <w:spacing w:after="60"/>
      </w:pPr>
    </w:p>
    <w:tbl>
      <w:tblPr>
        <w:bidiVisual w:val="1"/>
        <w:tblW w:type="auto" w:w="0"/>
        <w:jc w:val="right"/>
        <w:tblLook w:firstColumn="1" w:firstRow="1" w:lastColumn="0" w:lastRow="0" w:noHBand="0" w:noVBand="1" w:val="04A0"/>
      </w:tblPr>
      <w:tblGrid>
        <w:gridCol w:w="2520"/>
        <w:gridCol w:w="2520"/>
        <w:gridCol w:w="2520"/>
        <w:gridCol w:w="2520"/>
      </w:tblGrid>
      <w:tr>
        <w:tc>
          <w:tcPr>
            <w:tcW w:type="dxa" w:w="2520"/>
          </w:tcPr>
          <w:p>
            <w:pPr>
              <w:bidi w:val="1"/>
              <w:jc w:val="right"/>
            </w:pPr>
            <w:r/>
            <w:r>
              <w:drawing>
                <wp:inline xmlns:a="http://schemas.openxmlformats.org/drawingml/2006/main" xmlns:pic="http://schemas.openxmlformats.org/drawingml/2006/picture">
                  <wp:extent cx="1280160" cy="2770397"/>
                  <wp:docPr id="15" name="Picture 15"/>
                  <wp:cNvGraphicFramePr>
                    <a:graphicFrameLocks noChangeAspect="1"/>
                  </wp:cNvGraphicFramePr>
                  <a:graphic>
                    <a:graphicData uri="http://schemas.openxmlformats.org/drawingml/2006/picture">
                      <pic:pic>
                        <pic:nvPicPr>
                          <pic:cNvPr id="0" name="13-review.png"/>
                          <pic:cNvPicPr/>
                        </pic:nvPicPr>
                        <pic:blipFill>
                          <a:blip r:embed="rId23"/>
                          <a:stretch>
                            <a:fillRect/>
                          </a:stretch>
                        </pic:blipFill>
                        <pic:spPr>
                          <a:xfrm>
                            <a:off x="0" y="0"/>
                            <a:ext cx="1280160" cy="2770397"/>
                          </a:xfrm>
                          <a:prstGeom prst="rect"/>
                        </pic:spPr>
                      </pic:pic>
                    </a:graphicData>
                  </a:graphic>
                </wp:inline>
              </w:drawing>
            </w:r>
          </w:p>
        </w:tc>
        <w:tc>
          <w:tcPr>
            <w:tcW w:type="dxa" w:w="2520"/>
          </w:tcPr>
          <w:p>
            <w:pPr>
              <w:bidi w:val="1"/>
              <w:jc w:val="right"/>
            </w:pPr>
            <w:r/>
            <w:r>
              <w:drawing>
                <wp:inline xmlns:a="http://schemas.openxmlformats.org/drawingml/2006/main" xmlns:pic="http://schemas.openxmlformats.org/drawingml/2006/picture">
                  <wp:extent cx="1280160" cy="2770397"/>
                  <wp:docPr id="16" name="Picture 16"/>
                  <wp:cNvGraphicFramePr>
                    <a:graphicFrameLocks noChangeAspect="1"/>
                  </wp:cNvGraphicFramePr>
                  <a:graphic>
                    <a:graphicData uri="http://schemas.openxmlformats.org/drawingml/2006/picture">
                      <pic:pic>
                        <pic:nvPicPr>
                          <pic:cNvPr id="0" name="14-orders.png"/>
                          <pic:cNvPicPr/>
                        </pic:nvPicPr>
                        <pic:blipFill>
                          <a:blip r:embed="rId24"/>
                          <a:stretch>
                            <a:fillRect/>
                          </a:stretch>
                        </pic:blipFill>
                        <pic:spPr>
                          <a:xfrm>
                            <a:off x="0" y="0"/>
                            <a:ext cx="1280160" cy="2770397"/>
                          </a:xfrm>
                          <a:prstGeom prst="rect"/>
                        </pic:spPr>
                      </pic:pic>
                    </a:graphicData>
                  </a:graphic>
                </wp:inline>
              </w:drawing>
            </w:r>
          </w:p>
        </w:tc>
        <w:tc>
          <w:tcPr>
            <w:tcW w:type="dxa" w:w="2520"/>
          </w:tcPr>
          <w:p>
            <w:pPr>
              <w:bidi w:val="1"/>
              <w:jc w:val="right"/>
            </w:pPr>
            <w:r/>
            <w:r>
              <w:drawing>
                <wp:inline xmlns:a="http://schemas.openxmlformats.org/drawingml/2006/main" xmlns:pic="http://schemas.openxmlformats.org/drawingml/2006/picture">
                  <wp:extent cx="1280160" cy="2770397"/>
                  <wp:docPr id="17" name="Picture 17"/>
                  <wp:cNvGraphicFramePr>
                    <a:graphicFrameLocks noChangeAspect="1"/>
                  </wp:cNvGraphicFramePr>
                  <a:graphic>
                    <a:graphicData uri="http://schemas.openxmlformats.org/drawingml/2006/picture">
                      <pic:pic>
                        <pic:nvPicPr>
                          <pic:cNvPr id="0" name="15-account.png"/>
                          <pic:cNvPicPr/>
                        </pic:nvPicPr>
                        <pic:blipFill>
                          <a:blip r:embed="rId25"/>
                          <a:stretch>
                            <a:fillRect/>
                          </a:stretch>
                        </pic:blipFill>
                        <pic:spPr>
                          <a:xfrm>
                            <a:off x="0" y="0"/>
                            <a:ext cx="1280160" cy="2770397"/>
                          </a:xfrm>
                          <a:prstGeom prst="rect"/>
                        </pic:spPr>
                      </pic:pic>
                    </a:graphicData>
                  </a:graphic>
                </wp:inline>
              </w:drawing>
            </w:r>
          </w:p>
        </w:tc>
        <w:tc>
          <w:tcPr>
            <w:tcW w:type="dxa" w:w="2520"/>
          </w:tcPr>
          <w:p>
            <w:r/>
          </w:p>
        </w:tc>
      </w:tr>
      <w:tr>
        <w:tc>
          <w:tcPr>
            <w:tcW w:type="dxa" w:w="2520"/>
          </w:tcPr>
          <w:p>
            <w:pPr>
              <w:bidi w:val="1"/>
              <w:spacing w:before="20" w:after="20"/>
              <w:jc w:val="center"/>
            </w:pPr>
            <w:r/>
            <w:r>
              <w:rPr>
                <w:rFonts w:ascii="Tajawal" w:hAnsi="Tajawal" w:cs="Tajawal"/>
                <w:b w:val="0"/>
                <w:color w:val="5F6B65"/>
                <w:sz w:val="15"/>
                <w:szCs w:val="15"/>
                <w:rtl w:val="1"/>
              </w:rPr>
              <w:t>١٣ · التقييمتقييم متعدّد المعايير</w:t>
            </w:r>
          </w:p>
        </w:tc>
        <w:tc>
          <w:tcPr>
            <w:tcW w:type="dxa" w:w="2520"/>
          </w:tcPr>
          <w:p>
            <w:pPr>
              <w:bidi w:val="1"/>
              <w:spacing w:before="20" w:after="20"/>
              <w:jc w:val="center"/>
            </w:pPr>
            <w:r/>
            <w:r>
              <w:rPr>
                <w:rFonts w:ascii="Tajawal" w:hAnsi="Tajawal" w:cs="Tajawal"/>
                <w:b w:val="0"/>
                <w:color w:val="5F6B65"/>
                <w:sz w:val="15"/>
                <w:szCs w:val="15"/>
                <w:rtl w:val="1"/>
              </w:rPr>
              <w:t>١٤ · طلباتيالسجل وإعادة الطلب</w:t>
            </w:r>
          </w:p>
        </w:tc>
        <w:tc>
          <w:tcPr>
            <w:tcW w:type="dxa" w:w="2520"/>
          </w:tcPr>
          <w:p>
            <w:pPr>
              <w:bidi w:val="1"/>
              <w:spacing w:before="20" w:after="20"/>
              <w:jc w:val="center"/>
            </w:pPr>
            <w:r/>
            <w:r>
              <w:rPr>
                <w:rFonts w:ascii="Tajawal" w:hAnsi="Tajawal" w:cs="Tajawal"/>
                <w:b w:val="0"/>
                <w:color w:val="5F6B65"/>
                <w:sz w:val="15"/>
                <w:szCs w:val="15"/>
                <w:rtl w:val="1"/>
              </w:rPr>
              <w:t>١٥ · حسابيالعناوين والإعدادات</w:t>
            </w:r>
          </w:p>
        </w:tc>
        <w:tc>
          <w:tcPr>
            <w:tcW w:type="dxa" w:w="2520"/>
          </w:tcPr>
          <w:p>
            <w:pPr>
              <w:bidi w:val="1"/>
              <w:spacing w:before="20" w:after="20"/>
              <w:jc w:val="center"/>
            </w:pPr>
            <w:r/>
            <w:r>
              <w:rPr>
                <w:rFonts w:ascii="Tajawal" w:hAnsi="Tajawal" w:cs="Tajawal"/>
                <w:b w:val="0"/>
                <w:color w:val="5F6B65"/>
                <w:sz w:val="15"/>
                <w:szCs w:val="15"/>
                <w:rtl w:val="1"/>
              </w:rPr>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١٤ وضع مقدّم الخدمة ولوحة تحكّمه</w:t>
      </w:r>
    </w:p>
    <w:p>
      <w:pPr>
        <w:keepNext/>
        <w:bidi w:val="1"/>
        <w:spacing w:before="220" w:after="40"/>
        <w:jc w:val="right"/>
      </w:pPr>
      <w:r>
        <w:rPr>
          <w:rFonts w:ascii="Tajawal" w:hAnsi="Tajawal" w:cs="Tajawal"/>
          <w:b/>
          <w:color w:val="1D6B47"/>
          <w:sz w:val="24"/>
          <w:szCs w:val="24"/>
          <w:rtl w:val="1"/>
        </w:rPr>
        <w:t>١٤-١ الانضمام والتوثيق</w:t>
      </w:r>
    </w:p>
    <w:p>
      <w:pPr>
        <w:bidi w:val="1"/>
        <w:spacing w:after="100" w:line="348" w:lineRule="auto"/>
        <w:jc w:val="right"/>
      </w:pPr>
      <w:r>
        <w:rPr>
          <w:rFonts w:ascii="Tajawal" w:hAnsi="Tajawal" w:cs="Tajawal"/>
          <w:b w:val="0"/>
          <w:color w:val="333A36"/>
          <w:sz w:val="21"/>
          <w:szCs w:val="21"/>
          <w:rtl w:val="1"/>
        </w:rPr>
        <w:t xml:space="preserve">مستويات التوثيق الأربعة كما نصّت الوثيقة، وتظهر علامة التوثيق بجوار الحسابات الموثّقة: </w:t>
      </w:r>
    </w:p>
    <w:tbl>
      <w:tblPr>
        <w:tblStyle w:val="TableGrid"/>
        <w:bidiVisual w:val="1"/>
        <w:tblW w:type="auto" w:w="0"/>
        <w:jc w:val="right"/>
        <w:tblLook w:firstColumn="1" w:firstRow="1" w:lastColumn="0" w:lastRow="0" w:noHBand="0" w:noVBand="1" w:val="04A0"/>
      </w:tblPr>
      <w:tblGrid>
        <w:gridCol w:w="5040"/>
        <w:gridCol w:w="5040"/>
      </w:tblGrid>
      <w:tr>
        <w:tc>
          <w:tcPr>
            <w:tcW w:type="dxa" w:w="576"/>
          </w:tcPr>
          <w:p>
            <w:pPr>
              <w:bidi w:val="1"/>
              <w:spacing w:before="20" w:after="20"/>
              <w:jc w:val="center"/>
            </w:pPr>
            <w:r/>
            <w:r>
              <w:rPr>
                <w:rFonts w:ascii="Tajawal" w:hAnsi="Tajawal" w:cs="Tajawal"/>
                <w:b/>
                <w:color w:val="14512F"/>
                <w:sz w:val="19"/>
                <w:szCs w:val="19"/>
                <w:rtl w:val="1"/>
              </w:rPr>
              <w:t>أ</w:t>
            </w:r>
          </w:p>
        </w:tc>
        <w:tc>
          <w:tcPr>
            <w:tcW w:type="dxa" w:w="5040"/>
          </w:tcPr>
          <w:p>
            <w:pPr>
              <w:bidi w:val="1"/>
              <w:spacing w:after="20"/>
              <w:jc w:val="right"/>
            </w:pPr>
            <w:r/>
            <w:r>
              <w:rPr>
                <w:rFonts w:ascii="Tajawal" w:hAnsi="Tajawal" w:cs="Tajawal"/>
                <w:b/>
                <w:color w:val="141414"/>
                <w:sz w:val="19"/>
                <w:szCs w:val="19"/>
                <w:rtl w:val="1"/>
              </w:rPr>
              <w:t>حساب قيد المراجعة</w:t>
            </w:r>
          </w:p>
          <w:p>
            <w:pPr>
              <w:bidi w:val="1"/>
              <w:spacing w:after="20"/>
              <w:jc w:val="right"/>
            </w:pPr>
            <w:r>
              <w:rPr>
                <w:rFonts w:ascii="Tajawal" w:hAnsi="Tajawal" w:cs="Tajawal"/>
                <w:b w:val="0"/>
                <w:color w:val="5F6B65"/>
                <w:sz w:val="18"/>
                <w:szCs w:val="18"/>
                <w:rtl w:val="1"/>
              </w:rPr>
              <w:t>لا يستطيع استقبال الطلبات حتى تتمّ مراجعته.</w:t>
            </w:r>
          </w:p>
        </w:tc>
      </w:tr>
      <w:tr>
        <w:tc>
          <w:tcPr>
            <w:tcW w:type="dxa" w:w="576"/>
          </w:tcPr>
          <w:p>
            <w:pPr>
              <w:bidi w:val="1"/>
              <w:spacing w:before="20" w:after="20"/>
              <w:jc w:val="center"/>
            </w:pPr>
            <w:r/>
            <w:r>
              <w:rPr>
                <w:rFonts w:ascii="Tajawal" w:hAnsi="Tajawal" w:cs="Tajawal"/>
                <w:b/>
                <w:color w:val="14512F"/>
                <w:sz w:val="19"/>
                <w:szCs w:val="19"/>
                <w:rtl w:val="1"/>
              </w:rPr>
              <w:t>ب</w:t>
            </w:r>
          </w:p>
        </w:tc>
        <w:tc>
          <w:tcPr>
            <w:tcW w:type="dxa" w:w="5040"/>
          </w:tcPr>
          <w:p>
            <w:pPr>
              <w:bidi w:val="1"/>
              <w:spacing w:after="20"/>
              <w:jc w:val="right"/>
            </w:pPr>
            <w:r/>
            <w:r>
              <w:rPr>
                <w:rFonts w:ascii="Tajawal" w:hAnsi="Tajawal" w:cs="Tajawal"/>
                <w:b/>
                <w:color w:val="141414"/>
                <w:sz w:val="19"/>
                <w:szCs w:val="19"/>
                <w:rtl w:val="1"/>
              </w:rPr>
              <w:t>مقدّم خدمة مسجَّل</w:t>
            </w:r>
          </w:p>
          <w:p>
            <w:pPr>
              <w:bidi w:val="1"/>
              <w:spacing w:after="20"/>
              <w:jc w:val="right"/>
            </w:pPr>
            <w:r>
              <w:rPr>
                <w:rFonts w:ascii="Tajawal" w:hAnsi="Tajawal" w:cs="Tajawal"/>
                <w:b w:val="0"/>
                <w:color w:val="5F6B65"/>
                <w:sz w:val="18"/>
                <w:szCs w:val="18"/>
                <w:rtl w:val="1"/>
              </w:rPr>
              <w:t>تمّت مراجعة بياناته الأساسية.</w:t>
            </w:r>
          </w:p>
        </w:tc>
      </w:tr>
      <w:tr>
        <w:tc>
          <w:tcPr>
            <w:tcW w:type="dxa" w:w="576"/>
          </w:tcPr>
          <w:p>
            <w:pPr>
              <w:bidi w:val="1"/>
              <w:spacing w:before="20" w:after="20"/>
              <w:jc w:val="center"/>
            </w:pPr>
            <w:r/>
            <w:r>
              <w:rPr>
                <w:rFonts w:ascii="Tajawal" w:hAnsi="Tajawal" w:cs="Tajawal"/>
                <w:b/>
                <w:color w:val="14512F"/>
                <w:sz w:val="19"/>
                <w:szCs w:val="19"/>
                <w:rtl w:val="1"/>
              </w:rPr>
              <w:t>ج</w:t>
            </w:r>
          </w:p>
        </w:tc>
        <w:tc>
          <w:tcPr>
            <w:tcW w:type="dxa" w:w="5040"/>
          </w:tcPr>
          <w:p>
            <w:pPr>
              <w:bidi w:val="1"/>
              <w:spacing w:after="20"/>
              <w:jc w:val="right"/>
            </w:pPr>
            <w:r/>
            <w:r>
              <w:rPr>
                <w:rFonts w:ascii="Tajawal" w:hAnsi="Tajawal" w:cs="Tajawal"/>
                <w:b/>
                <w:color w:val="141414"/>
                <w:sz w:val="19"/>
                <w:szCs w:val="19"/>
                <w:rtl w:val="1"/>
              </w:rPr>
              <w:t>مقدّم خدمة موثَّق</w:t>
            </w:r>
          </w:p>
          <w:p>
            <w:pPr>
              <w:bidi w:val="1"/>
              <w:spacing w:after="20"/>
              <w:jc w:val="right"/>
            </w:pPr>
            <w:r>
              <w:rPr>
                <w:rFonts w:ascii="Tajawal" w:hAnsi="Tajawal" w:cs="Tajawal"/>
                <w:b w:val="0"/>
                <w:color w:val="5F6B65"/>
                <w:sz w:val="18"/>
                <w:szCs w:val="18"/>
                <w:rtl w:val="1"/>
              </w:rPr>
              <w:t>تمّ التحقّق من الهوية والوثائق المهنية.</w:t>
            </w:r>
          </w:p>
        </w:tc>
      </w:tr>
      <w:tr>
        <w:tc>
          <w:tcPr>
            <w:tcW w:type="dxa" w:w="576"/>
          </w:tcPr>
          <w:p>
            <w:pPr>
              <w:bidi w:val="1"/>
              <w:spacing w:before="20" w:after="20"/>
              <w:jc w:val="center"/>
            </w:pPr>
            <w:r/>
            <w:r>
              <w:rPr>
                <w:rFonts w:ascii="Tajawal" w:hAnsi="Tajawal" w:cs="Tajawal"/>
                <w:b/>
                <w:color w:val="14512F"/>
                <w:sz w:val="19"/>
                <w:szCs w:val="19"/>
                <w:rtl w:val="1"/>
              </w:rPr>
              <w:t>د</w:t>
            </w:r>
          </w:p>
        </w:tc>
        <w:tc>
          <w:tcPr>
            <w:tcW w:type="dxa" w:w="5040"/>
          </w:tcPr>
          <w:p>
            <w:pPr>
              <w:bidi w:val="1"/>
              <w:spacing w:after="20"/>
              <w:jc w:val="right"/>
            </w:pPr>
            <w:r/>
            <w:r>
              <w:rPr>
                <w:rFonts w:ascii="Tajawal" w:hAnsi="Tajawal" w:cs="Tajawal"/>
                <w:b/>
                <w:color w:val="141414"/>
                <w:sz w:val="19"/>
                <w:szCs w:val="19"/>
                <w:rtl w:val="1"/>
              </w:rPr>
              <w:t>شركة خدمات موثّقة</w:t>
            </w:r>
          </w:p>
          <w:p>
            <w:pPr>
              <w:bidi w:val="1"/>
              <w:spacing w:after="20"/>
              <w:jc w:val="right"/>
            </w:pPr>
            <w:r>
              <w:rPr>
                <w:rFonts w:ascii="Tajawal" w:hAnsi="Tajawal" w:cs="Tajawal"/>
                <w:b w:val="0"/>
                <w:color w:val="5F6B65"/>
                <w:sz w:val="18"/>
                <w:szCs w:val="18"/>
                <w:rtl w:val="1"/>
              </w:rPr>
              <w:t>تمّ التحقّق من السجلّ التجاري وبيانات الشركة — المرحلة ٢</w:t>
            </w:r>
          </w:p>
        </w:tc>
      </w:tr>
    </w:tbl>
    <w:p>
      <w:pPr>
        <w:spacing w:after="60"/>
      </w:pPr>
    </w:p>
    <w:p>
      <w:pPr>
        <w:keepNext/>
        <w:bidi w:val="1"/>
        <w:spacing w:before="220" w:after="40"/>
        <w:jc w:val="right"/>
      </w:pPr>
      <w:r>
        <w:rPr>
          <w:rFonts w:ascii="Tajawal" w:hAnsi="Tajawal" w:cs="Tajawal"/>
          <w:b/>
          <w:color w:val="1D6B47"/>
          <w:sz w:val="24"/>
          <w:szCs w:val="24"/>
          <w:rtl w:val="1"/>
        </w:rPr>
        <w:t>١٤-٢ أقسام لوحة مقدّم الخدمة</w:t>
      </w:r>
    </w:p>
    <w:tbl>
      <w:tblPr>
        <w:tblStyle w:val="TableGrid"/>
        <w:bidiVisual w:val="1"/>
        <w:tblW w:type="auto" w:w="0"/>
        <w:jc w:val="right"/>
        <w:tblLook w:firstColumn="1" w:firstRow="1" w:lastColumn="0" w:lastRow="0" w:noHBand="0" w:noVBand="1" w:val="04A0"/>
      </w:tblPr>
      <w:tblGrid>
        <w:gridCol w:w="5040"/>
        <w:gridCol w:w="5040"/>
      </w:tblGrid>
      <w:tr>
        <w:tc>
          <w:tcPr>
            <w:tcW w:type="dxa" w:w="5040"/>
            <w:shd w:val="clear" w:color="auto" w:fill="14512F"/>
          </w:tcPr>
          <w:p>
            <w:pPr>
              <w:bidi w:val="1"/>
              <w:spacing w:before="20" w:after="20"/>
              <w:jc w:val="right"/>
            </w:pPr>
            <w:r/>
            <w:r>
              <w:rPr>
                <w:rFonts w:ascii="Tajawal" w:hAnsi="Tajawal" w:cs="Tajawal"/>
                <w:b/>
                <w:color w:val="FFFFFF"/>
                <w:sz w:val="17"/>
                <w:szCs w:val="17"/>
                <w:rtl w:val="1"/>
              </w:rPr>
              <w:t>القسم</w:t>
            </w:r>
          </w:p>
        </w:tc>
        <w:tc>
          <w:tcPr>
            <w:tcW w:type="dxa" w:w="5040"/>
            <w:shd w:val="clear" w:color="auto" w:fill="14512F"/>
          </w:tcPr>
          <w:p>
            <w:pPr>
              <w:bidi w:val="1"/>
              <w:spacing w:before="20" w:after="20"/>
              <w:jc w:val="right"/>
            </w:pPr>
            <w:r/>
            <w:r>
              <w:rPr>
                <w:rFonts w:ascii="Tajawal" w:hAnsi="Tajawal" w:cs="Tajawal"/>
                <w:b/>
                <w:color w:val="FFFFFF"/>
                <w:sz w:val="17"/>
                <w:szCs w:val="17"/>
                <w:rtl w:val="1"/>
              </w:rPr>
              <w:t>المحتوى</w:t>
            </w:r>
          </w:p>
        </w:tc>
      </w:tr>
      <w:tr>
        <w:tc>
          <w:tcPr>
            <w:tcW w:type="dxa" w:w="5040"/>
          </w:tcPr>
          <w:p>
            <w:pPr>
              <w:bidi w:val="1"/>
              <w:spacing w:before="20" w:after="20"/>
              <w:jc w:val="right"/>
            </w:pPr>
            <w:r/>
            <w:r>
              <w:rPr>
                <w:rFonts w:ascii="Tajawal" w:hAnsi="Tajawal" w:cs="Tajawal"/>
                <w:b w:val="0"/>
                <w:color w:val="333A36"/>
                <w:sz w:val="17"/>
                <w:szCs w:val="17"/>
                <w:rtl w:val="1"/>
              </w:rPr>
              <w:t>الرئيسية</w:t>
            </w:r>
          </w:p>
        </w:tc>
        <w:tc>
          <w:tcPr>
            <w:tcW w:type="dxa" w:w="5040"/>
          </w:tcPr>
          <w:p>
            <w:pPr>
              <w:bidi w:val="1"/>
              <w:spacing w:before="20" w:after="20"/>
              <w:jc w:val="right"/>
            </w:pPr>
            <w:r/>
            <w:r>
              <w:rPr>
                <w:rFonts w:ascii="Tajawal" w:hAnsi="Tajawal" w:cs="Tajawal"/>
                <w:b w:val="0"/>
                <w:color w:val="333A36"/>
                <w:sz w:val="17"/>
                <w:szCs w:val="17"/>
                <w:rtl w:val="1"/>
              </w:rPr>
              <w:t>حالة الحساب · حالة التوثيق · التقييم · الطلبات الجديدة والحالية والمكتملة · الإيرادات · الرصيد المتاح · العمولة · سرعة الاستجابة · نسبة القبول · نسبة الإلغاء · إشعارات مهمّة</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الطلبات</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المتاحة · التي قُدِّم عليها عرض · المقبولة · الحالية · المكتملة · الملغاة · المتعثّرة</w:t>
            </w:r>
          </w:p>
        </w:tc>
      </w:tr>
      <w:tr>
        <w:tc>
          <w:tcPr>
            <w:tcW w:type="dxa" w:w="5040"/>
          </w:tcPr>
          <w:p>
            <w:pPr>
              <w:bidi w:val="1"/>
              <w:spacing w:before="20" w:after="20"/>
              <w:jc w:val="right"/>
            </w:pPr>
            <w:r/>
            <w:r>
              <w:rPr>
                <w:rFonts w:ascii="Tajawal" w:hAnsi="Tajawal" w:cs="Tajawal"/>
                <w:b w:val="0"/>
                <w:color w:val="333A36"/>
                <w:sz w:val="17"/>
                <w:szCs w:val="17"/>
                <w:rtl w:val="1"/>
              </w:rPr>
              <w:t>العروض</w:t>
            </w:r>
          </w:p>
        </w:tc>
        <w:tc>
          <w:tcPr>
            <w:tcW w:type="dxa" w:w="5040"/>
          </w:tcPr>
          <w:p>
            <w:pPr>
              <w:bidi w:val="1"/>
              <w:spacing w:before="20" w:after="20"/>
              <w:jc w:val="right"/>
            </w:pPr>
            <w:r/>
            <w:r>
              <w:rPr>
                <w:rFonts w:ascii="Tajawal" w:hAnsi="Tajawal" w:cs="Tajawal"/>
                <w:b w:val="0"/>
                <w:color w:val="333A36"/>
                <w:sz w:val="17"/>
                <w:szCs w:val="17"/>
                <w:rtl w:val="1"/>
              </w:rPr>
              <w:t>إنشاء · تعديل · سحب · حالة العرض · تاريخ انتهاء الصلاحية</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الخدمات</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إضافة · تعديل · إيقاف · طريقة التسعير · السعر الابتدائي · مناطق التغطية</w:t>
            </w:r>
          </w:p>
        </w:tc>
      </w:tr>
      <w:tr>
        <w:tc>
          <w:tcPr>
            <w:tcW w:type="dxa" w:w="5040"/>
          </w:tcPr>
          <w:p>
            <w:pPr>
              <w:bidi w:val="1"/>
              <w:spacing w:before="20" w:after="20"/>
              <w:jc w:val="right"/>
            </w:pPr>
            <w:r/>
            <w:r>
              <w:rPr>
                <w:rFonts w:ascii="Tajawal" w:hAnsi="Tajawal" w:cs="Tajawal"/>
                <w:b w:val="0"/>
                <w:color w:val="333A36"/>
                <w:sz w:val="17"/>
                <w:szCs w:val="17"/>
                <w:rtl w:val="1"/>
              </w:rPr>
              <w:t>معرض الأعمال</w:t>
            </w:r>
          </w:p>
        </w:tc>
        <w:tc>
          <w:tcPr>
            <w:tcW w:type="dxa" w:w="5040"/>
          </w:tcPr>
          <w:p>
            <w:pPr>
              <w:bidi w:val="1"/>
              <w:spacing w:before="20" w:after="20"/>
              <w:jc w:val="right"/>
            </w:pPr>
            <w:r/>
            <w:r>
              <w:rPr>
                <w:rFonts w:ascii="Tajawal" w:hAnsi="Tajawal" w:cs="Tajawal"/>
                <w:b w:val="0"/>
                <w:color w:val="333A36"/>
                <w:sz w:val="17"/>
                <w:szCs w:val="17"/>
                <w:rtl w:val="1"/>
              </w:rPr>
              <w:t>إضافة صور وفيديو ووصف · ربط العمل بنوع خدمة · حذف أو تعديل</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المحفظة</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الرصيد المتاح · الرصيد المحجوز · الأرباح · العمولات · طلبات السحب · سجلّ العمليات · الفواتير</w:t>
            </w:r>
          </w:p>
        </w:tc>
      </w:tr>
      <w:tr>
        <w:tc>
          <w:tcPr>
            <w:tcW w:type="dxa" w:w="5040"/>
          </w:tcPr>
          <w:p>
            <w:pPr>
              <w:bidi w:val="1"/>
              <w:spacing w:before="20" w:after="20"/>
              <w:jc w:val="right"/>
            </w:pPr>
            <w:r/>
            <w:r>
              <w:rPr>
                <w:rFonts w:ascii="Tajawal" w:hAnsi="Tajawal" w:cs="Tajawal"/>
                <w:b w:val="0"/>
                <w:color w:val="333A36"/>
                <w:sz w:val="17"/>
                <w:szCs w:val="17"/>
                <w:rtl w:val="1"/>
              </w:rPr>
              <w:t>التقييمات</w:t>
            </w:r>
          </w:p>
        </w:tc>
        <w:tc>
          <w:tcPr>
            <w:tcW w:type="dxa" w:w="5040"/>
          </w:tcPr>
          <w:p>
            <w:pPr>
              <w:bidi w:val="1"/>
              <w:spacing w:before="20" w:after="20"/>
              <w:jc w:val="right"/>
            </w:pPr>
            <w:r/>
            <w:r>
              <w:rPr>
                <w:rFonts w:ascii="Tajawal" w:hAnsi="Tajawal" w:cs="Tajawal"/>
                <w:b w:val="0"/>
                <w:color w:val="333A36"/>
                <w:sz w:val="17"/>
                <w:szCs w:val="17"/>
                <w:rtl w:val="1"/>
              </w:rPr>
              <w:t>المتوسّط · التفاصيل · الردّ على التقييم · الإبلاغ عن تقييم مخالف</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الإعدادات</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البيانات الشخصية · أوقات العمل · مناطق التغطية · حالة التوفّر · الإشعارات · اللغة · الخصوصية · تغيير رقم الهاتف</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١٥ لوحة الإدارة ونظام الصلاحيات</w:t>
      </w:r>
    </w:p>
    <w:tbl>
      <w:tblPr>
        <w:tblStyle w:val="TableGrid"/>
        <w:bidiVisual w:val="1"/>
        <w:tblW w:type="auto" w:w="0"/>
        <w:jc w:val="right"/>
        <w:tblLook w:firstColumn="1" w:firstRow="1" w:lastColumn="0" w:lastRow="0" w:noHBand="0" w:noVBand="1" w:val="04A0"/>
      </w:tblPr>
      <w:tblGrid>
        <w:gridCol w:w="5040"/>
        <w:gridCol w:w="5040"/>
      </w:tblGrid>
      <w:tr>
        <w:tc>
          <w:tcPr>
            <w:tcW w:type="dxa" w:w="5040"/>
            <w:shd w:val="clear" w:color="auto" w:fill="14512F"/>
          </w:tcPr>
          <w:p>
            <w:pPr>
              <w:bidi w:val="1"/>
              <w:spacing w:before="20" w:after="20"/>
              <w:jc w:val="right"/>
            </w:pPr>
            <w:r/>
            <w:r>
              <w:rPr>
                <w:rFonts w:ascii="Tajawal" w:hAnsi="Tajawal" w:cs="Tajawal"/>
                <w:b/>
                <w:color w:val="FFFFFF"/>
                <w:sz w:val="17"/>
                <w:szCs w:val="17"/>
                <w:rtl w:val="1"/>
              </w:rPr>
              <w:t>الوحدة</w:t>
            </w:r>
          </w:p>
        </w:tc>
        <w:tc>
          <w:tcPr>
            <w:tcW w:type="dxa" w:w="5040"/>
            <w:shd w:val="clear" w:color="auto" w:fill="14512F"/>
          </w:tcPr>
          <w:p>
            <w:pPr>
              <w:bidi w:val="1"/>
              <w:spacing w:before="20" w:after="20"/>
              <w:jc w:val="right"/>
            </w:pPr>
            <w:r/>
            <w:r>
              <w:rPr>
                <w:rFonts w:ascii="Tajawal" w:hAnsi="Tajawal" w:cs="Tajawal"/>
                <w:b/>
                <w:color w:val="FFFFFF"/>
                <w:sz w:val="17"/>
                <w:szCs w:val="17"/>
                <w:rtl w:val="1"/>
              </w:rPr>
              <w:t>أبرز القدرات</w:t>
            </w:r>
          </w:p>
        </w:tc>
      </w:tr>
      <w:tr>
        <w:tc>
          <w:tcPr>
            <w:tcW w:type="dxa" w:w="5040"/>
          </w:tcPr>
          <w:p>
            <w:pPr>
              <w:bidi w:val="1"/>
              <w:spacing w:before="20" w:after="20"/>
              <w:jc w:val="right"/>
            </w:pPr>
            <w:r/>
            <w:r>
              <w:rPr>
                <w:rFonts w:ascii="Tajawal" w:hAnsi="Tajawal" w:cs="Tajawal"/>
                <w:b w:val="0"/>
                <w:color w:val="333A36"/>
                <w:sz w:val="17"/>
                <w:szCs w:val="17"/>
                <w:rtl w:val="1"/>
              </w:rPr>
              <w:t>المؤشّرات الرئيسية</w:t>
            </w:r>
          </w:p>
        </w:tc>
        <w:tc>
          <w:tcPr>
            <w:tcW w:type="dxa" w:w="5040"/>
          </w:tcPr>
          <w:p>
            <w:pPr>
              <w:bidi w:val="1"/>
              <w:spacing w:before="20" w:after="20"/>
              <w:jc w:val="right"/>
            </w:pPr>
            <w:r/>
            <w:r>
              <w:rPr>
                <w:rFonts w:ascii="Tajawal" w:hAnsi="Tajawal" w:cs="Tajawal"/>
                <w:b w:val="0"/>
                <w:color w:val="333A36"/>
                <w:sz w:val="17"/>
                <w:szCs w:val="17"/>
                <w:rtl w:val="1"/>
              </w:rPr>
              <w:t>إجمالي العملاء ومقدّمي الخدمات والموثّقين · الطلبات الجديدة والمكتملة والملغاة والمتعثّرة · إجمالي قيمة الطلبات · إجمالي العمولات · المستحقّات · الشكاوى المفتوحة · متوسّط التقييم · أكثر الخدمات طلباً · أكثر المناطق نشاطاً · نمو المستخدمين والطلبات</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المستخدمون</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بحث · البيانات وسجلّ الطلبات والتقييمات والشكاوى · تفعيل · إيقاف مؤقّت · حظر · إرسال إشعار · تعديل وفق الصلاحية · الأجهزة والجلسات النشطة</w:t>
            </w:r>
          </w:p>
        </w:tc>
      </w:tr>
      <w:tr>
        <w:tc>
          <w:tcPr>
            <w:tcW w:type="dxa" w:w="5040"/>
          </w:tcPr>
          <w:p>
            <w:pPr>
              <w:bidi w:val="1"/>
              <w:spacing w:before="20" w:after="20"/>
              <w:jc w:val="right"/>
            </w:pPr>
            <w:r/>
            <w:r>
              <w:rPr>
                <w:rFonts w:ascii="Tajawal" w:hAnsi="Tajawal" w:cs="Tajawal"/>
                <w:b w:val="0"/>
                <w:color w:val="333A36"/>
                <w:sz w:val="17"/>
                <w:szCs w:val="17"/>
                <w:rtl w:val="1"/>
              </w:rPr>
              <w:t>مقدّمو الخدمات</w:t>
            </w:r>
          </w:p>
        </w:tc>
        <w:tc>
          <w:tcPr>
            <w:tcW w:type="dxa" w:w="5040"/>
          </w:tcPr>
          <w:p>
            <w:pPr>
              <w:bidi w:val="1"/>
              <w:spacing w:before="20" w:after="20"/>
              <w:jc w:val="right"/>
            </w:pPr>
            <w:r/>
            <w:r>
              <w:rPr>
                <w:rFonts w:ascii="Tajawal" w:hAnsi="Tajawal" w:cs="Tajawal"/>
                <w:b w:val="0"/>
                <w:color w:val="333A36"/>
                <w:sz w:val="17"/>
                <w:szCs w:val="17"/>
                <w:rtl w:val="1"/>
              </w:rPr>
              <w:t>طلبات الانضمام · مراجعة الوثائق · قبول أو رفض · طلب وثائق إضافية · حالة التوثيق · الاختصاصات · مراجعة الأعمال · إيقاف اختصاص · مراقبة الأداء · الاشتراكات · نسب العمولة · الأرصدة</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الطلبات</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عرض الكل · بحث وتصفية · التفاصيل والعروض والأطراف · تغيير الحالة عند الضرورة · إسناد يدوي · إلغاء · إعادة فتح · سجلّ التغييرات · متابعة المتأخّرة</w:t>
            </w:r>
          </w:p>
        </w:tc>
      </w:tr>
      <w:tr>
        <w:tc>
          <w:tcPr>
            <w:tcW w:type="dxa" w:w="5040"/>
          </w:tcPr>
          <w:p>
            <w:pPr>
              <w:bidi w:val="1"/>
              <w:spacing w:before="20" w:after="20"/>
              <w:jc w:val="right"/>
            </w:pPr>
            <w:r/>
            <w:r>
              <w:rPr>
                <w:rFonts w:ascii="Tajawal" w:hAnsi="Tajawal" w:cs="Tajawal"/>
                <w:b w:val="0"/>
                <w:color w:val="333A36"/>
                <w:sz w:val="17"/>
                <w:szCs w:val="17"/>
                <w:rtl w:val="1"/>
              </w:rPr>
              <w:t>الخدمات والتصنيفات</w:t>
            </w:r>
          </w:p>
        </w:tc>
        <w:tc>
          <w:tcPr>
            <w:tcW w:type="dxa" w:w="5040"/>
          </w:tcPr>
          <w:p>
            <w:pPr>
              <w:bidi w:val="1"/>
              <w:spacing w:before="20" w:after="20"/>
              <w:jc w:val="right"/>
            </w:pPr>
            <w:r/>
            <w:r>
              <w:rPr>
                <w:rFonts w:ascii="Tajawal" w:hAnsi="Tajawal" w:cs="Tajawal"/>
                <w:b w:val="0"/>
                <w:color w:val="333A36"/>
                <w:sz w:val="17"/>
                <w:szCs w:val="17"/>
                <w:rtl w:val="1"/>
              </w:rPr>
              <w:t>تصنيف رئيسي وفرعي · إضافة خدمة · أيقونة وصورة · نموذج التسعير · الحقول المطلوبة · الوثائق المطلوبة · العمولة · الحدّ الأدنى للسعر · إتاحة الطوارئ · إيقاف وتفعيل · ترتيب الظهور</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المناطق</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محافظات · مدن · مناطق · أحياء · مناطق التغطية · رسوم الانتقال · الخدمات المتاحة بكل منطقة</w:t>
            </w:r>
          </w:p>
        </w:tc>
      </w:tr>
      <w:tr>
        <w:tc>
          <w:tcPr>
            <w:tcW w:type="dxa" w:w="5040"/>
          </w:tcPr>
          <w:p>
            <w:pPr>
              <w:bidi w:val="1"/>
              <w:spacing w:before="20" w:after="20"/>
              <w:jc w:val="right"/>
            </w:pPr>
            <w:r/>
            <w:r>
              <w:rPr>
                <w:rFonts w:ascii="Tajawal" w:hAnsi="Tajawal" w:cs="Tajawal"/>
                <w:b w:val="0"/>
                <w:color w:val="333A36"/>
                <w:sz w:val="17"/>
                <w:szCs w:val="17"/>
                <w:rtl w:val="1"/>
              </w:rPr>
              <w:t>المدفوعات</w:t>
            </w:r>
          </w:p>
        </w:tc>
        <w:tc>
          <w:tcPr>
            <w:tcW w:type="dxa" w:w="5040"/>
          </w:tcPr>
          <w:p>
            <w:pPr>
              <w:bidi w:val="1"/>
              <w:spacing w:before="20" w:after="20"/>
              <w:jc w:val="right"/>
            </w:pPr>
            <w:r/>
            <w:r>
              <w:rPr>
                <w:rFonts w:ascii="Tajawal" w:hAnsi="Tajawal" w:cs="Tajawal"/>
                <w:b w:val="0"/>
                <w:color w:val="333A36"/>
                <w:sz w:val="17"/>
                <w:szCs w:val="17"/>
                <w:rtl w:val="1"/>
              </w:rPr>
              <w:t>الناجحة والفاشلة · المحجوزة · الاسترداد · المستحقّات · طلبات السحب · العمولات · التسويات · الفواتير · التقارير المالية</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الشكاوى</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الاستقبال · الأولوية · تعيين موظف · مراسلة الأطراف · المرفقات · تعليق الدفعة · تسجيل القرار · الإغلاق · تقرير الشكاوى</w:t>
            </w:r>
          </w:p>
        </w:tc>
      </w:tr>
      <w:tr>
        <w:tc>
          <w:tcPr>
            <w:tcW w:type="dxa" w:w="5040"/>
          </w:tcPr>
          <w:p>
            <w:pPr>
              <w:bidi w:val="1"/>
              <w:spacing w:before="20" w:after="20"/>
              <w:jc w:val="right"/>
            </w:pPr>
            <w:r/>
            <w:r>
              <w:rPr>
                <w:rFonts w:ascii="Tajawal" w:hAnsi="Tajawal" w:cs="Tajawal"/>
                <w:b w:val="0"/>
                <w:color w:val="333A36"/>
                <w:sz w:val="17"/>
                <w:szCs w:val="17"/>
                <w:rtl w:val="1"/>
              </w:rPr>
              <w:t>المحتوى</w:t>
            </w:r>
          </w:p>
        </w:tc>
        <w:tc>
          <w:tcPr>
            <w:tcW w:type="dxa" w:w="5040"/>
          </w:tcPr>
          <w:p>
            <w:pPr>
              <w:bidi w:val="1"/>
              <w:spacing w:before="20" w:after="20"/>
              <w:jc w:val="right"/>
            </w:pPr>
            <w:r/>
            <w:r>
              <w:rPr>
                <w:rFonts w:ascii="Tajawal" w:hAnsi="Tajawal" w:cs="Tajawal"/>
                <w:b w:val="0"/>
                <w:color w:val="333A36"/>
                <w:sz w:val="17"/>
                <w:szCs w:val="17"/>
                <w:rtl w:val="1"/>
              </w:rPr>
              <w:t>السلايدر · البنرات · الصفحات التعريفية · الأسئلة الشائعة · الشروط · الخصوصية · النصائح · الإعلانات · رسائل التطبيق · بيانات التواصل · روابط التواصل الاجتماعي</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الإشعارات</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إرسال لمستخدم أو مجموعة · حسب المنطقة أو نوع الحساب أو الخدمة · الجدولة · قوالب الرسائل</w:t>
            </w:r>
          </w:p>
        </w:tc>
      </w:tr>
      <w:tr>
        <w:tc>
          <w:tcPr>
            <w:tcW w:type="dxa" w:w="5040"/>
          </w:tcPr>
          <w:p>
            <w:pPr>
              <w:bidi w:val="1"/>
              <w:spacing w:before="20" w:after="20"/>
              <w:jc w:val="right"/>
            </w:pPr>
            <w:r/>
            <w:r>
              <w:rPr>
                <w:rFonts w:ascii="Tajawal" w:hAnsi="Tajawal" w:cs="Tajawal"/>
                <w:b w:val="0"/>
                <w:color w:val="333A36"/>
                <w:sz w:val="17"/>
                <w:szCs w:val="17"/>
                <w:rtl w:val="1"/>
              </w:rPr>
              <w:t>الموظفون</w:t>
            </w:r>
          </w:p>
        </w:tc>
        <w:tc>
          <w:tcPr>
            <w:tcW w:type="dxa" w:w="5040"/>
          </w:tcPr>
          <w:p>
            <w:pPr>
              <w:bidi w:val="1"/>
              <w:spacing w:before="20" w:after="20"/>
              <w:jc w:val="right"/>
            </w:pPr>
            <w:r/>
            <w:r>
              <w:rPr>
                <w:rFonts w:ascii="Tajawal" w:hAnsi="Tajawal" w:cs="Tajawal"/>
                <w:b w:val="0"/>
                <w:color w:val="333A36"/>
                <w:sz w:val="17"/>
                <w:szCs w:val="17"/>
                <w:rtl w:val="1"/>
              </w:rPr>
              <w:t>إضافة موظف · إنشاء دور · تحديد الصلاحيات · تقييد التقارير المالية · تقييد كل إجراء · إيقاف أو حذف الصلاحيات</w:t>
            </w:r>
          </w:p>
        </w:tc>
      </w:tr>
    </w:tbl>
    <w:p>
      <w:pPr>
        <w:spacing w:after="60"/>
      </w:pPr>
    </w:p>
    <w:p>
      <w:pPr>
        <w:keepNext/>
        <w:bidi w:val="1"/>
        <w:spacing w:before="220" w:after="40"/>
        <w:jc w:val="right"/>
      </w:pPr>
      <w:r>
        <w:rPr>
          <w:rFonts w:ascii="Tajawal" w:hAnsi="Tajawal" w:cs="Tajawal"/>
          <w:b/>
          <w:color w:val="1D6B47"/>
          <w:sz w:val="24"/>
          <w:szCs w:val="24"/>
          <w:rtl w:val="1"/>
        </w:rPr>
        <w:t>١٥-١ الأدوار الإدارية المُعدّة مسبقاً</w:t>
      </w:r>
    </w:p>
    <w:p>
      <w:pPr>
        <w:bidi w:val="1"/>
        <w:spacing w:after="120" w:line="360" w:lineRule="auto"/>
        <w:jc w:val="right"/>
      </w:pPr>
      <w:r>
        <w:rPr>
          <w:rFonts w:ascii="Tajawal" w:hAnsi="Tajawal" w:cs="Tajawal"/>
          <w:b w:val="0"/>
          <w:color w:val="1D6B47"/>
          <w:sz w:val="18"/>
          <w:szCs w:val="18"/>
          <w:rtl w:val="1"/>
        </w:rPr>
        <w:t>مدير النظام  ·  مدير عام  ·  قبول مقدّمي الخدمات  ·  خدمة العملاء  ·  متابعة الطلبات  ·  الشكاوى  ·  المحاسبة  ·  إدارة المحتوى  ·  الجودة  ·  التقارير</w:t>
      </w:r>
    </w:p>
    <w:p>
      <w:pPr>
        <w:bidi w:val="1"/>
        <w:spacing w:after="100" w:line="348" w:lineRule="auto"/>
        <w:jc w:val="right"/>
      </w:pPr>
      <w:r>
        <w:rPr>
          <w:rFonts w:ascii="Tajawal" w:hAnsi="Tajawal" w:cs="Tajawal"/>
          <w:b w:val="0"/>
          <w:color w:val="333A36"/>
          <w:sz w:val="18"/>
          <w:szCs w:val="18"/>
          <w:rtl w:val="1"/>
        </w:rPr>
        <w:t xml:space="preserve">الأدوار قوالب جاهزة، وصلاحيات كل موظف تبقى قابلة للتحديد بصورة منفصلة من داخل اللوحة. وكل إجراء إداري يُقيَّد في سجلّ تدقيق غير قابل للتعديل يتضمّن الفاعل والزمن والقيمة قبل التغيير وبعده. </w:t>
      </w:r>
    </w:p>
    <w:p>
      <w:pPr>
        <w:keepNext/>
        <w:pBdr>
          <w:bottom w:val="single" w:sz="12" w:space="3" w:color="14512F"/>
        </w:pBdr>
        <w:bidi w:val="1"/>
        <w:spacing w:before="320" w:after="40"/>
        <w:jc w:val="right"/>
      </w:pPr>
      <w:r>
        <w:rPr>
          <w:rFonts w:ascii="Tajawal" w:hAnsi="Tajawal" w:cs="Tajawal"/>
          <w:b/>
          <w:color w:val="141414"/>
          <w:sz w:val="36"/>
          <w:szCs w:val="36"/>
          <w:rtl w:val="1"/>
        </w:rPr>
        <w:t>١٦ محرّك التقارير والتصدير</w:t>
      </w:r>
    </w:p>
    <w:p>
      <w:pPr>
        <w:bidi w:val="1"/>
        <w:spacing w:after="100" w:line="348" w:lineRule="auto"/>
        <w:jc w:val="right"/>
      </w:pPr>
      <w:r>
        <w:rPr>
          <w:rFonts w:ascii="Tajawal" w:hAnsi="Tajawal" w:cs="Tajawal"/>
          <w:b w:val="0"/>
          <w:color w:val="333A36"/>
          <w:sz w:val="21"/>
          <w:szCs w:val="21"/>
          <w:rtl w:val="1"/>
        </w:rPr>
        <w:t xml:space="preserve">أربعة وعشرون تقريراً، كلها </w:t>
      </w:r>
      <w:r>
        <w:rPr>
          <w:rFonts w:ascii="Tajawal" w:hAnsi="Tajawal" w:cs="Tajawal"/>
          <w:b/>
          <w:color w:val="333A36"/>
          <w:sz w:val="21"/>
          <w:szCs w:val="21"/>
          <w:rtl w:val="1"/>
        </w:rPr>
        <w:t xml:space="preserve">قابلة للعرض والتصفية والتصدير إلى Excel و PDF </w:t>
      </w:r>
      <w:r>
        <w:rPr>
          <w:rFonts w:ascii="Tajawal" w:hAnsi="Tajawal" w:cs="Tajawal"/>
          <w:b w:val="0"/>
          <w:color w:val="333A36"/>
          <w:sz w:val="21"/>
          <w:szCs w:val="21"/>
          <w:rtl w:val="1"/>
        </w:rPr>
        <w:t xml:space="preserve">. تُبنى التقارير الثقيلة في مهام غير متزامنة ثم يُخطَر المستخدم بجهوزيتها، حتى لا تُبطئ اللوحة.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المستخدمون الجدد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مقدّمو الخدمات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طلبات الانضمام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الطلبات حسب الخدمة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الطلبات حسب المحافظة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الطلبات المكتملة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الطلبات الملغاة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الطلبات المتعثّرة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متوسّط قيمة الطلب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عمولات المنصّة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أرباح مقدّمي الخدمات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المدفوعات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المبالغ المستردّة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الشكاوى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تقييمات مقدّمي الخدمات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أفضل مقدّمي الخدمات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الأقلّ أداءً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أوقات الاستجابة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العروض المقدَّمة والمقبولة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الخدمات الأكثر طلباً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العملاء الأكثر استخداماً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أكواد الخصم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الاشتراكات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مصادر التسجيل والحملات </w:t>
      </w:r>
    </w:p>
    <w:p>
      <w:pPr>
        <w:bidi w:val="1"/>
        <w:spacing w:after="140" w:line="348" w:lineRule="auto"/>
        <w:jc w:val="right"/>
      </w:pPr>
      <w:r>
        <w:rPr>
          <w:rFonts w:ascii="Tajawal" w:hAnsi="Tajawal" w:cs="Tajawal"/>
          <w:b w:val="0"/>
          <w:color w:val="5F6B65"/>
          <w:sz w:val="17"/>
          <w:szCs w:val="17"/>
          <w:rtl w:val="1"/>
        </w:rPr>
        <w:t xml:space="preserve">تقريرا «أكواد الخصم» و«الاشتراكات» يعتمدان على وظائف المرحلة الثانية؛ يُسلَّمان في المرحلة الأولى كهيكل جاهز يمتلئ بالبيانات فور تفعيل تلك الوظائف. </w:t>
      </w:r>
    </w:p>
    <w:p>
      <w:pPr>
        <w:keepNext/>
        <w:pBdr>
          <w:bottom w:val="single" w:sz="12" w:space="3" w:color="14512F"/>
        </w:pBdr>
        <w:bidi w:val="1"/>
        <w:spacing w:before="320" w:after="40"/>
        <w:jc w:val="right"/>
      </w:pPr>
      <w:r>
        <w:rPr>
          <w:rFonts w:ascii="Tajawal" w:hAnsi="Tajawal" w:cs="Tajawal"/>
          <w:b/>
          <w:color w:val="141414"/>
          <w:sz w:val="36"/>
          <w:szCs w:val="36"/>
          <w:rtl w:val="1"/>
        </w:rPr>
        <w:t>١٧ صفحة الويب التعريفية</w:t>
      </w:r>
    </w:p>
    <w:tbl>
      <w:tblPr>
        <w:tblStyle w:val="TableGrid"/>
        <w:bidiVisual w:val="1"/>
        <w:tblW w:type="auto" w:w="0"/>
        <w:jc w:val="right"/>
        <w:tblLook w:firstColumn="1" w:firstRow="1" w:lastColumn="0" w:lastRow="0" w:noHBand="0" w:noVBand="1" w:val="04A0"/>
      </w:tblPr>
      <w:tblGrid>
        <w:gridCol w:w="5040"/>
        <w:gridCol w:w="5040"/>
      </w:tblGrid>
      <w:tr>
        <w:tc>
          <w:tcPr>
            <w:tcW w:type="dxa" w:w="5040"/>
            <w:shd w:val="clear" w:color="auto" w:fill="F5F8F6"/>
          </w:tcPr>
          <w:p>
            <w:pPr>
              <w:bidi w:val="1"/>
              <w:spacing w:after="20"/>
              <w:jc w:val="right"/>
            </w:pPr>
            <w:r/>
            <w:r>
              <w:rPr>
                <w:rFonts w:ascii="Tajawal" w:hAnsi="Tajawal" w:cs="Tajawal"/>
                <w:b/>
                <w:color w:val="14512F"/>
                <w:sz w:val="18"/>
                <w:szCs w:val="18"/>
                <w:rtl w:val="1"/>
              </w:rPr>
              <w:t>المحتوى</w:t>
            </w:r>
          </w:p>
          <w:p>
            <w:pPr>
              <w:bidi w:val="1"/>
              <w:spacing w:after="10"/>
              <w:jc w:val="right"/>
            </w:pPr>
            <w:r>
              <w:rPr>
                <w:rFonts w:ascii="Tajawal" w:hAnsi="Tajawal" w:cs="Tajawal"/>
                <w:b w:val="0"/>
                <w:color w:val="333A36"/>
                <w:sz w:val="17"/>
                <w:szCs w:val="17"/>
                <w:rtl w:val="1"/>
              </w:rPr>
              <w:t>• التعريف بالتطبيق</w:t>
            </w:r>
          </w:p>
          <w:p>
            <w:pPr>
              <w:bidi w:val="1"/>
              <w:spacing w:after="10"/>
              <w:jc w:val="right"/>
            </w:pPr>
            <w:r>
              <w:rPr>
                <w:rFonts w:ascii="Tajawal" w:hAnsi="Tajawal" w:cs="Tajawal"/>
                <w:b w:val="0"/>
                <w:color w:val="333A36"/>
                <w:sz w:val="17"/>
                <w:szCs w:val="17"/>
                <w:rtl w:val="1"/>
              </w:rPr>
              <w:t>• أنواع الخدمات</w:t>
            </w:r>
          </w:p>
          <w:p>
            <w:pPr>
              <w:bidi w:val="1"/>
              <w:spacing w:after="10"/>
              <w:jc w:val="right"/>
            </w:pPr>
            <w:r>
              <w:rPr>
                <w:rFonts w:ascii="Tajawal" w:hAnsi="Tajawal" w:cs="Tajawal"/>
                <w:b w:val="0"/>
                <w:color w:val="333A36"/>
                <w:sz w:val="17"/>
                <w:szCs w:val="17"/>
                <w:rtl w:val="1"/>
              </w:rPr>
              <w:t>• طريقة طلب الخدمة</w:t>
            </w:r>
          </w:p>
          <w:p>
            <w:pPr>
              <w:bidi w:val="1"/>
              <w:spacing w:after="10"/>
              <w:jc w:val="right"/>
            </w:pPr>
            <w:r>
              <w:rPr>
                <w:rFonts w:ascii="Tajawal" w:hAnsi="Tajawal" w:cs="Tajawal"/>
                <w:b w:val="0"/>
                <w:color w:val="333A36"/>
                <w:sz w:val="17"/>
                <w:szCs w:val="17"/>
                <w:rtl w:val="1"/>
              </w:rPr>
              <w:t>• طريقة التسجيل كمقدّم خدمة</w:t>
            </w:r>
          </w:p>
          <w:p>
            <w:pPr>
              <w:bidi w:val="1"/>
              <w:spacing w:after="10"/>
              <w:jc w:val="right"/>
            </w:pPr>
            <w:r>
              <w:rPr>
                <w:rFonts w:ascii="Tajawal" w:hAnsi="Tajawal" w:cs="Tajawal"/>
                <w:b w:val="0"/>
                <w:color w:val="333A36"/>
                <w:sz w:val="17"/>
                <w:szCs w:val="17"/>
                <w:rtl w:val="1"/>
              </w:rPr>
              <w:t>• روابط تحميل التطبيق</w:t>
            </w:r>
          </w:p>
          <w:p>
            <w:pPr>
              <w:bidi w:val="1"/>
              <w:spacing w:after="10"/>
              <w:jc w:val="right"/>
            </w:pPr>
            <w:r>
              <w:rPr>
                <w:rFonts w:ascii="Tajawal" w:hAnsi="Tajawal" w:cs="Tajawal"/>
                <w:b w:val="0"/>
                <w:color w:val="333A36"/>
                <w:sz w:val="17"/>
                <w:szCs w:val="17"/>
                <w:rtl w:val="1"/>
              </w:rPr>
              <w:t>• معلومات التواصل</w:t>
            </w:r>
          </w:p>
          <w:p>
            <w:pPr>
              <w:bidi w:val="1"/>
              <w:spacing w:after="10"/>
              <w:jc w:val="right"/>
            </w:pPr>
            <w:r>
              <w:rPr>
                <w:rFonts w:ascii="Tajawal" w:hAnsi="Tajawal" w:cs="Tajawal"/>
                <w:b w:val="0"/>
                <w:color w:val="333A36"/>
                <w:sz w:val="17"/>
                <w:szCs w:val="17"/>
                <w:rtl w:val="1"/>
              </w:rPr>
              <w:t>• الشروط والأحكام</w:t>
            </w:r>
          </w:p>
          <w:p>
            <w:pPr>
              <w:bidi w:val="1"/>
              <w:spacing w:after="10"/>
              <w:jc w:val="right"/>
            </w:pPr>
            <w:r>
              <w:rPr>
                <w:rFonts w:ascii="Tajawal" w:hAnsi="Tajawal" w:cs="Tajawal"/>
                <w:b w:val="0"/>
                <w:color w:val="333A36"/>
                <w:sz w:val="17"/>
                <w:szCs w:val="17"/>
                <w:rtl w:val="1"/>
              </w:rPr>
              <w:t>• سياسة الخصوصية</w:t>
            </w:r>
          </w:p>
          <w:p>
            <w:pPr>
              <w:bidi w:val="1"/>
              <w:spacing w:after="10"/>
              <w:jc w:val="right"/>
            </w:pPr>
            <w:r>
              <w:rPr>
                <w:rFonts w:ascii="Tajawal" w:hAnsi="Tajawal" w:cs="Tajawal"/>
                <w:b w:val="0"/>
                <w:color w:val="333A36"/>
                <w:sz w:val="17"/>
                <w:szCs w:val="17"/>
                <w:rtl w:val="1"/>
              </w:rPr>
              <w:t>• الأسئلة الشائعة</w:t>
            </w:r>
          </w:p>
          <w:p>
            <w:pPr>
              <w:bidi w:val="1"/>
              <w:spacing w:after="10"/>
              <w:jc w:val="right"/>
            </w:pPr>
            <w:r>
              <w:rPr>
                <w:rFonts w:ascii="Tajawal" w:hAnsi="Tajawal" w:cs="Tajawal"/>
                <w:b w:val="0"/>
                <w:color w:val="333A36"/>
                <w:sz w:val="17"/>
                <w:szCs w:val="17"/>
                <w:rtl w:val="1"/>
              </w:rPr>
              <w:t>• نموذج التواصل مع الإدارة</w:t>
            </w:r>
          </w:p>
        </w:tc>
        <w:tc>
          <w:tcPr>
            <w:tcW w:type="dxa" w:w="5040"/>
            <w:shd w:val="clear" w:color="auto" w:fill="F5F8F6"/>
          </w:tcPr>
          <w:p>
            <w:pPr>
              <w:bidi w:val="1"/>
              <w:spacing w:after="20"/>
              <w:jc w:val="right"/>
            </w:pPr>
            <w:r/>
            <w:r>
              <w:rPr>
                <w:rFonts w:ascii="Tajawal" w:hAnsi="Tajawal" w:cs="Tajawal"/>
                <w:b/>
                <w:color w:val="14512F"/>
                <w:sz w:val="18"/>
                <w:szCs w:val="18"/>
                <w:rtl w:val="1"/>
              </w:rPr>
              <w:t>المعالجة الفنية</w:t>
            </w:r>
          </w:p>
          <w:p>
            <w:pPr>
              <w:bidi w:val="1"/>
              <w:spacing w:after="10"/>
              <w:jc w:val="right"/>
            </w:pPr>
            <w:r>
              <w:rPr>
                <w:rFonts w:ascii="Tajawal" w:hAnsi="Tajawal" w:cs="Tajawal"/>
                <w:b w:val="0"/>
                <w:color w:val="333A36"/>
                <w:sz w:val="17"/>
                <w:szCs w:val="17"/>
                <w:rtl w:val="1"/>
              </w:rPr>
              <w:t>• تصيير على الخادم لسرعة التحميل وفهرسة محرّكات البحث</w:t>
            </w:r>
          </w:p>
          <w:p>
            <w:pPr>
              <w:bidi w:val="1"/>
              <w:spacing w:after="10"/>
              <w:jc w:val="right"/>
            </w:pPr>
            <w:r>
              <w:rPr>
                <w:rFonts w:ascii="Tajawal" w:hAnsi="Tajawal" w:cs="Tajawal"/>
                <w:b w:val="0"/>
                <w:color w:val="333A36"/>
                <w:sz w:val="17"/>
                <w:szCs w:val="17"/>
                <w:rtl w:val="1"/>
              </w:rPr>
              <w:t>• وسوم Meta وبيانات منظّمة عربية سليمة</w:t>
            </w:r>
          </w:p>
          <w:p>
            <w:pPr>
              <w:bidi w:val="1"/>
              <w:spacing w:after="10"/>
              <w:jc w:val="right"/>
            </w:pPr>
            <w:r>
              <w:rPr>
                <w:rFonts w:ascii="Tajawal" w:hAnsi="Tajawal" w:cs="Tajawal"/>
                <w:b w:val="0"/>
                <w:color w:val="333A36"/>
                <w:sz w:val="17"/>
                <w:szCs w:val="17"/>
                <w:rtl w:val="1"/>
              </w:rPr>
              <w:t>• محتوى الصفحات مُدار من لوحة الإدارة</w:t>
            </w:r>
          </w:p>
          <w:p>
            <w:pPr>
              <w:bidi w:val="1"/>
              <w:spacing w:after="10"/>
              <w:jc w:val="right"/>
            </w:pPr>
            <w:r>
              <w:rPr>
                <w:rFonts w:ascii="Tajawal" w:hAnsi="Tajawal" w:cs="Tajawal"/>
                <w:b w:val="0"/>
                <w:color w:val="333A36"/>
                <w:sz w:val="17"/>
                <w:szCs w:val="17"/>
                <w:rtl w:val="1"/>
              </w:rPr>
              <w:t>• نموذج التواصل محميّ من الإرسال الآلي</w:t>
            </w:r>
          </w:p>
          <w:p>
            <w:pPr>
              <w:bidi w:val="1"/>
              <w:spacing w:after="10"/>
              <w:jc w:val="right"/>
            </w:pPr>
            <w:r>
              <w:rPr>
                <w:rFonts w:ascii="Tajawal" w:hAnsi="Tajawal" w:cs="Tajawal"/>
                <w:b w:val="0"/>
                <w:color w:val="333A36"/>
                <w:sz w:val="17"/>
                <w:szCs w:val="17"/>
                <w:rtl w:val="1"/>
              </w:rPr>
              <w:t>• تصميم متجاوب كامل مع RTL</w:t>
            </w:r>
          </w:p>
          <w:p>
            <w:pPr>
              <w:bidi w:val="1"/>
              <w:spacing w:after="10"/>
              <w:jc w:val="right"/>
            </w:pPr>
            <w:r>
              <w:rPr>
                <w:rFonts w:ascii="Tajawal" w:hAnsi="Tajawal" w:cs="Tajawal"/>
                <w:b w:val="0"/>
                <w:color w:val="333A36"/>
                <w:sz w:val="17"/>
                <w:szCs w:val="17"/>
                <w:rtl w:val="1"/>
              </w:rPr>
              <w:t>• ربط مع أدوات التحليل</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١٨ التكاملات الخارجية</w:t>
      </w:r>
    </w:p>
    <w:tbl>
      <w:tblPr>
        <w:tblStyle w:val="TableGrid"/>
        <w:bidiVisual w:val="1"/>
        <w:tblW w:type="auto" w:w="0"/>
        <w:jc w:val="right"/>
        <w:tblLook w:firstColumn="1" w:firstRow="1" w:lastColumn="0" w:lastRow="0" w:noHBand="0" w:noVBand="1" w:val="04A0"/>
      </w:tblPr>
      <w:tblGrid>
        <w:gridCol w:w="10080"/>
      </w:tblGrid>
      <w:tr>
        <w:tc>
          <w:tcPr>
            <w:tcW w:type="dxa" w:w="10080"/>
            <w:shd w:val="clear" w:color="auto" w:fill="FDF6E6"/>
          </w:tcPr>
          <w:p>
            <w:pPr>
              <w:bidi w:val="1"/>
              <w:spacing w:after="40" w:line="336" w:lineRule="auto"/>
              <w:jc w:val="right"/>
            </w:pPr>
            <w:r/>
            <w:r>
              <w:rPr>
                <w:rFonts w:ascii="Tajawal" w:hAnsi="Tajawal" w:cs="Tajawal"/>
                <w:b/>
                <w:color w:val="14512F"/>
                <w:sz w:val="19"/>
                <w:szCs w:val="19"/>
                <w:rtl w:val="1"/>
              </w:rPr>
              <w:t>تنبيه مالي مهمّ</w:t>
            </w:r>
          </w:p>
          <w:p>
            <w:pPr>
              <w:bidi w:val="1"/>
              <w:spacing w:after="40" w:line="336" w:lineRule="auto"/>
              <w:jc w:val="right"/>
            </w:pPr>
            <w:r>
              <w:rPr>
                <w:rFonts w:ascii="Tajawal" w:hAnsi="Tajawal" w:cs="Tajawal"/>
                <w:b/>
                <w:color w:val="333A36"/>
                <w:sz w:val="18"/>
                <w:szCs w:val="18"/>
                <w:rtl w:val="1"/>
              </w:rPr>
              <w:t xml:space="preserve">كلفة تنفيذ الربط </w:t>
            </w:r>
            <w:r>
              <w:rPr>
                <w:rFonts w:ascii="Tajawal" w:hAnsi="Tajawal" w:cs="Tajawal"/>
                <w:b w:val="0"/>
                <w:color w:val="333A36"/>
                <w:sz w:val="18"/>
                <w:szCs w:val="18"/>
                <w:rtl w:val="1"/>
              </w:rPr>
              <w:t xml:space="preserve">— وهي عمل روبوأجينتكس — منفصلة تماماً عن </w:t>
            </w:r>
            <w:r>
              <w:rPr>
                <w:rFonts w:ascii="Tajawal" w:hAnsi="Tajawal" w:cs="Tajawal"/>
                <w:b/>
                <w:color w:val="333A36"/>
                <w:sz w:val="18"/>
                <w:szCs w:val="18"/>
                <w:rtl w:val="1"/>
              </w:rPr>
              <w:t xml:space="preserve">رسوم المزوّد </w:t>
            </w:r>
            <w:r>
              <w:rPr>
                <w:rFonts w:ascii="Tajawal" w:hAnsi="Tajawal" w:cs="Tajawal"/>
                <w:b w:val="0"/>
                <w:color w:val="333A36"/>
                <w:sz w:val="18"/>
                <w:szCs w:val="18"/>
                <w:rtl w:val="1"/>
              </w:rPr>
              <w:t xml:space="preserve">التي تدفعها الجهة المالكة مباشرةً للمزوّد. كلفة كل ربط مسعّرة بنداً مستقلاً في القسم ٥ من المستند المالي، تنفيذاً للمطلب الصريح في وثيقة التوصيف. </w:t>
            </w:r>
          </w:p>
        </w:tc>
      </w:tr>
    </w:tbl>
    <w:p>
      <w:pPr>
        <w:spacing w:after="60"/>
      </w:pPr>
    </w:p>
    <w:tbl>
      <w:tblPr>
        <w:tblStyle w:val="TableGrid"/>
        <w:bidiVisual w:val="1"/>
        <w:tblW w:type="auto" w:w="0"/>
        <w:jc w:val="right"/>
        <w:tblLook w:firstColumn="1" w:firstRow="1" w:lastColumn="0" w:lastRow="0" w:noHBand="0" w:noVBand="1" w:val="04A0"/>
      </w:tblPr>
      <w:tblGrid>
        <w:gridCol w:w="2520"/>
        <w:gridCol w:w="2520"/>
        <w:gridCol w:w="2520"/>
        <w:gridCol w:w="2520"/>
      </w:tblGrid>
      <w:tr>
        <w:tc>
          <w:tcPr>
            <w:tcW w:type="dxa" w:w="2520"/>
            <w:shd w:val="clear" w:color="auto" w:fill="14512F"/>
          </w:tcPr>
          <w:p>
            <w:pPr>
              <w:bidi w:val="1"/>
              <w:spacing w:before="20" w:after="20"/>
              <w:jc w:val="right"/>
            </w:pPr>
            <w:r/>
            <w:r>
              <w:rPr>
                <w:rFonts w:ascii="Tajawal" w:hAnsi="Tajawal" w:cs="Tajawal"/>
                <w:b/>
                <w:color w:val="FFFFFF"/>
                <w:sz w:val="17"/>
                <w:szCs w:val="17"/>
                <w:rtl w:val="1"/>
              </w:rPr>
              <w:t>التكامل</w:t>
            </w:r>
          </w:p>
        </w:tc>
        <w:tc>
          <w:tcPr>
            <w:tcW w:type="dxa" w:w="2520"/>
            <w:shd w:val="clear" w:color="auto" w:fill="14512F"/>
          </w:tcPr>
          <w:p>
            <w:pPr>
              <w:bidi w:val="1"/>
              <w:spacing w:before="20" w:after="20"/>
              <w:jc w:val="right"/>
            </w:pPr>
            <w:r/>
            <w:r>
              <w:rPr>
                <w:rFonts w:ascii="Tajawal" w:hAnsi="Tajawal" w:cs="Tajawal"/>
                <w:b/>
                <w:color w:val="FFFFFF"/>
                <w:sz w:val="17"/>
                <w:szCs w:val="17"/>
                <w:rtl w:val="1"/>
              </w:rPr>
              <w:t>الغرض</w:t>
            </w:r>
          </w:p>
        </w:tc>
        <w:tc>
          <w:tcPr>
            <w:tcW w:type="dxa" w:w="2520"/>
            <w:shd w:val="clear" w:color="auto" w:fill="14512F"/>
          </w:tcPr>
          <w:p>
            <w:pPr>
              <w:bidi w:val="1"/>
              <w:spacing w:before="20" w:after="20"/>
              <w:jc w:val="right"/>
            </w:pPr>
            <w:r/>
            <w:r>
              <w:rPr>
                <w:rFonts w:ascii="Tajawal" w:hAnsi="Tajawal" w:cs="Tajawal"/>
                <w:b/>
                <w:color w:val="FFFFFF"/>
                <w:sz w:val="17"/>
                <w:szCs w:val="17"/>
                <w:rtl w:val="1"/>
              </w:rPr>
              <w:t>المرحلة</w:t>
            </w:r>
          </w:p>
        </w:tc>
        <w:tc>
          <w:tcPr>
            <w:tcW w:type="dxa" w:w="2520"/>
            <w:shd w:val="clear" w:color="auto" w:fill="14512F"/>
          </w:tcPr>
          <w:p>
            <w:pPr>
              <w:bidi w:val="1"/>
              <w:spacing w:before="20" w:after="20"/>
              <w:jc w:val="right"/>
            </w:pPr>
            <w:r/>
            <w:r>
              <w:rPr>
                <w:rFonts w:ascii="Tajawal" w:hAnsi="Tajawal" w:cs="Tajawal"/>
                <w:b/>
                <w:color w:val="FFFFFF"/>
                <w:sz w:val="17"/>
                <w:szCs w:val="17"/>
                <w:rtl w:val="1"/>
              </w:rPr>
              <w:t>الرسوم</w:t>
            </w:r>
          </w:p>
        </w:tc>
      </w:tr>
      <w:tr>
        <w:tc>
          <w:tcPr>
            <w:tcW w:type="dxa" w:w="2520"/>
          </w:tcPr>
          <w:p>
            <w:pPr>
              <w:bidi w:val="1"/>
              <w:spacing w:before="20" w:after="20"/>
              <w:jc w:val="right"/>
            </w:pPr>
            <w:r/>
            <w:r>
              <w:rPr>
                <w:rFonts w:ascii="Tajawal" w:hAnsi="Tajawal" w:cs="Tajawal"/>
                <w:b w:val="0"/>
                <w:color w:val="333A36"/>
                <w:sz w:val="17"/>
                <w:szCs w:val="17"/>
                <w:rtl w:val="1"/>
              </w:rPr>
              <w:t>خدمة رموز OTP</w:t>
            </w:r>
          </w:p>
        </w:tc>
        <w:tc>
          <w:tcPr>
            <w:tcW w:type="dxa" w:w="2520"/>
          </w:tcPr>
          <w:p>
            <w:pPr>
              <w:bidi w:val="1"/>
              <w:spacing w:before="20" w:after="20"/>
              <w:jc w:val="right"/>
            </w:pPr>
            <w:r/>
            <w:r>
              <w:rPr>
                <w:rFonts w:ascii="Tajawal" w:hAnsi="Tajawal" w:cs="Tajawal"/>
                <w:b w:val="0"/>
                <w:color w:val="333A36"/>
                <w:sz w:val="17"/>
                <w:szCs w:val="17"/>
                <w:rtl w:val="1"/>
              </w:rPr>
              <w:t>التحقّق من رقم الهاتف</w:t>
            </w:r>
          </w:p>
        </w:tc>
        <w:tc>
          <w:tcPr>
            <w:tcW w:type="dxa" w:w="2520"/>
          </w:tcPr>
          <w:p>
            <w:pPr>
              <w:bidi w:val="1"/>
              <w:spacing w:before="20" w:after="20"/>
              <w:jc w:val="center"/>
            </w:pPr>
            <w:r/>
            <w:r>
              <w:rPr>
                <w:rFonts w:ascii="Tajawal" w:hAnsi="Tajawal" w:cs="Tajawal"/>
                <w:b w:val="0"/>
                <w:color w:val="333A36"/>
                <w:sz w:val="17"/>
                <w:szCs w:val="17"/>
                <w:rtl w:val="1"/>
              </w:rPr>
              <w:t>المرحلة ١</w:t>
            </w:r>
          </w:p>
        </w:tc>
        <w:tc>
          <w:tcPr>
            <w:tcW w:type="dxa" w:w="2520"/>
          </w:tcPr>
          <w:p>
            <w:pPr>
              <w:bidi w:val="1"/>
              <w:spacing w:before="20" w:after="20"/>
              <w:jc w:val="right"/>
            </w:pPr>
            <w:r/>
            <w:r>
              <w:rPr>
                <w:rFonts w:ascii="Tajawal" w:hAnsi="Tajawal" w:cs="Tajawal"/>
                <w:b w:val="0"/>
                <w:color w:val="333A36"/>
                <w:sz w:val="17"/>
                <w:szCs w:val="17"/>
                <w:rtl w:val="1"/>
              </w:rPr>
              <w:t>لكل رسالة — على الجهة المالكة</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خدمة الرسائل النصّية</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الإشعارات الحرجة</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المرحلة ١</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لكل رسالة — على الجهة المالكة</w:t>
            </w:r>
          </w:p>
        </w:tc>
      </w:tr>
      <w:tr>
        <w:tc>
          <w:tcPr>
            <w:tcW w:type="dxa" w:w="2520"/>
          </w:tcPr>
          <w:p>
            <w:pPr>
              <w:bidi w:val="1"/>
              <w:spacing w:before="20" w:after="20"/>
              <w:jc w:val="right"/>
            </w:pPr>
            <w:r/>
            <w:r>
              <w:rPr>
                <w:rFonts w:ascii="Tajawal" w:hAnsi="Tajawal" w:cs="Tajawal"/>
                <w:b w:val="0"/>
                <w:color w:val="333A36"/>
                <w:sz w:val="17"/>
                <w:szCs w:val="17"/>
                <w:rtl w:val="1"/>
              </w:rPr>
              <w:t>الخرائط وتحديد المواقع</w:t>
            </w:r>
          </w:p>
        </w:tc>
        <w:tc>
          <w:tcPr>
            <w:tcW w:type="dxa" w:w="2520"/>
          </w:tcPr>
          <w:p>
            <w:pPr>
              <w:bidi w:val="1"/>
              <w:spacing w:before="20" w:after="20"/>
              <w:jc w:val="right"/>
            </w:pPr>
            <w:r/>
            <w:r>
              <w:rPr>
                <w:rFonts w:ascii="Tajawal" w:hAnsi="Tajawal" w:cs="Tajawal"/>
                <w:b w:val="0"/>
                <w:color w:val="333A36"/>
                <w:sz w:val="17"/>
                <w:szCs w:val="17"/>
                <w:rtl w:val="1"/>
              </w:rPr>
              <w:t>الموقع والمسافة وزمن الوصول</w:t>
            </w:r>
          </w:p>
        </w:tc>
        <w:tc>
          <w:tcPr>
            <w:tcW w:type="dxa" w:w="2520"/>
          </w:tcPr>
          <w:p>
            <w:pPr>
              <w:bidi w:val="1"/>
              <w:spacing w:before="20" w:after="20"/>
              <w:jc w:val="center"/>
            </w:pPr>
            <w:r/>
            <w:r>
              <w:rPr>
                <w:rFonts w:ascii="Tajawal" w:hAnsi="Tajawal" w:cs="Tajawal"/>
                <w:b w:val="0"/>
                <w:color w:val="333A36"/>
                <w:sz w:val="17"/>
                <w:szCs w:val="17"/>
                <w:rtl w:val="1"/>
              </w:rPr>
              <w:t>المرحلة ١</w:t>
            </w:r>
          </w:p>
        </w:tc>
        <w:tc>
          <w:tcPr>
            <w:tcW w:type="dxa" w:w="2520"/>
          </w:tcPr>
          <w:p>
            <w:pPr>
              <w:bidi w:val="1"/>
              <w:spacing w:before="20" w:after="20"/>
              <w:jc w:val="right"/>
            </w:pPr>
            <w:r/>
            <w:r>
              <w:rPr>
                <w:rFonts w:ascii="Tajawal" w:hAnsi="Tajawal" w:cs="Tajawal"/>
                <w:b w:val="0"/>
                <w:color w:val="333A36"/>
                <w:sz w:val="17"/>
                <w:szCs w:val="17"/>
                <w:rtl w:val="1"/>
              </w:rPr>
              <w:t>حسب الاستهلاك</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بوّابة الدفع الإلكتروني</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الدفع الإلكتروني</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المرحلة ١</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لكل عملية</w:t>
            </w:r>
          </w:p>
        </w:tc>
      </w:tr>
      <w:tr>
        <w:tc>
          <w:tcPr>
            <w:tcW w:type="dxa" w:w="2520"/>
          </w:tcPr>
          <w:p>
            <w:pPr>
              <w:bidi w:val="1"/>
              <w:spacing w:before="20" w:after="20"/>
              <w:jc w:val="right"/>
            </w:pPr>
            <w:r/>
            <w:r>
              <w:rPr>
                <w:rFonts w:ascii="Tajawal" w:hAnsi="Tajawal" w:cs="Tajawal"/>
                <w:b w:val="0"/>
                <w:color w:val="333A36"/>
                <w:sz w:val="17"/>
                <w:szCs w:val="17"/>
                <w:rtl w:val="1"/>
              </w:rPr>
              <w:t>إشعارات Firebase</w:t>
            </w:r>
          </w:p>
        </w:tc>
        <w:tc>
          <w:tcPr>
            <w:tcW w:type="dxa" w:w="2520"/>
          </w:tcPr>
          <w:p>
            <w:pPr>
              <w:bidi w:val="1"/>
              <w:spacing w:before="20" w:after="20"/>
              <w:jc w:val="right"/>
            </w:pPr>
            <w:r/>
            <w:r>
              <w:rPr>
                <w:rFonts w:ascii="Tajawal" w:hAnsi="Tajawal" w:cs="Tajawal"/>
                <w:b w:val="0"/>
                <w:color w:val="333A36"/>
                <w:sz w:val="17"/>
                <w:szCs w:val="17"/>
                <w:rtl w:val="1"/>
              </w:rPr>
              <w:t>الإشعارات الفورية</w:t>
            </w:r>
          </w:p>
        </w:tc>
        <w:tc>
          <w:tcPr>
            <w:tcW w:type="dxa" w:w="2520"/>
          </w:tcPr>
          <w:p>
            <w:pPr>
              <w:bidi w:val="1"/>
              <w:spacing w:before="20" w:after="20"/>
              <w:jc w:val="center"/>
            </w:pPr>
            <w:r/>
            <w:r>
              <w:rPr>
                <w:rFonts w:ascii="Tajawal" w:hAnsi="Tajawal" w:cs="Tajawal"/>
                <w:b w:val="0"/>
                <w:color w:val="333A36"/>
                <w:sz w:val="17"/>
                <w:szCs w:val="17"/>
                <w:rtl w:val="1"/>
              </w:rPr>
              <w:t>المرحلة ١</w:t>
            </w:r>
          </w:p>
        </w:tc>
        <w:tc>
          <w:tcPr>
            <w:tcW w:type="dxa" w:w="2520"/>
          </w:tcPr>
          <w:p>
            <w:pPr>
              <w:bidi w:val="1"/>
              <w:spacing w:before="20" w:after="20"/>
              <w:jc w:val="right"/>
            </w:pPr>
            <w:r/>
            <w:r>
              <w:rPr>
                <w:rFonts w:ascii="Tajawal" w:hAnsi="Tajawal" w:cs="Tajawal"/>
                <w:b w:val="0"/>
                <w:color w:val="333A36"/>
                <w:sz w:val="17"/>
                <w:szCs w:val="17"/>
                <w:rtl w:val="1"/>
              </w:rPr>
              <w:t>مجانية ضمن الحدود القياسية</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خدمة البريد الإلكتروني</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الفواتير والتنبيهات</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المرحلة ١</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اشتراك شهري</w:t>
            </w:r>
          </w:p>
        </w:tc>
      </w:tr>
      <w:tr>
        <w:tc>
          <w:tcPr>
            <w:tcW w:type="dxa" w:w="2520"/>
          </w:tcPr>
          <w:p>
            <w:pPr>
              <w:bidi w:val="1"/>
              <w:spacing w:before="20" w:after="20"/>
              <w:jc w:val="right"/>
            </w:pPr>
            <w:r/>
            <w:r>
              <w:rPr>
                <w:rFonts w:ascii="Tajawal" w:hAnsi="Tajawal" w:cs="Tajawal"/>
                <w:b w:val="0"/>
                <w:color w:val="333A36"/>
                <w:sz w:val="17"/>
                <w:szCs w:val="17"/>
                <w:rtl w:val="1"/>
              </w:rPr>
              <w:t>التخزين السحابي للوسائط</w:t>
            </w:r>
          </w:p>
        </w:tc>
        <w:tc>
          <w:tcPr>
            <w:tcW w:type="dxa" w:w="2520"/>
          </w:tcPr>
          <w:p>
            <w:pPr>
              <w:bidi w:val="1"/>
              <w:spacing w:before="20" w:after="20"/>
              <w:jc w:val="right"/>
            </w:pPr>
            <w:r/>
            <w:r>
              <w:rPr>
                <w:rFonts w:ascii="Tajawal" w:hAnsi="Tajawal" w:cs="Tajawal"/>
                <w:b w:val="0"/>
                <w:color w:val="333A36"/>
                <w:sz w:val="17"/>
                <w:szCs w:val="17"/>
                <w:rtl w:val="1"/>
              </w:rPr>
              <w:t>الصور والفيديو والوثائق</w:t>
            </w:r>
          </w:p>
        </w:tc>
        <w:tc>
          <w:tcPr>
            <w:tcW w:type="dxa" w:w="2520"/>
          </w:tcPr>
          <w:p>
            <w:pPr>
              <w:bidi w:val="1"/>
              <w:spacing w:before="20" w:after="20"/>
              <w:jc w:val="center"/>
            </w:pPr>
            <w:r/>
            <w:r>
              <w:rPr>
                <w:rFonts w:ascii="Tajawal" w:hAnsi="Tajawal" w:cs="Tajawal"/>
                <w:b w:val="0"/>
                <w:color w:val="333A36"/>
                <w:sz w:val="17"/>
                <w:szCs w:val="17"/>
                <w:rtl w:val="1"/>
              </w:rPr>
              <w:t>المرحلة ١</w:t>
            </w:r>
          </w:p>
        </w:tc>
        <w:tc>
          <w:tcPr>
            <w:tcW w:type="dxa" w:w="2520"/>
          </w:tcPr>
          <w:p>
            <w:pPr>
              <w:bidi w:val="1"/>
              <w:spacing w:before="20" w:after="20"/>
              <w:jc w:val="right"/>
            </w:pPr>
            <w:r/>
            <w:r>
              <w:rPr>
                <w:rFonts w:ascii="Tajawal" w:hAnsi="Tajawal" w:cs="Tajawal"/>
                <w:b w:val="0"/>
                <w:color w:val="333A36"/>
                <w:sz w:val="17"/>
                <w:szCs w:val="17"/>
                <w:rtl w:val="1"/>
              </w:rPr>
              <w:t>حسب السعة والنقل</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أدوات تحليل الاستخدام</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سلوك المستخدمين</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المرحلة ١</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مجانية ضمن الحدود القياسية</w:t>
            </w:r>
          </w:p>
        </w:tc>
      </w:tr>
      <w:tr>
        <w:tc>
          <w:tcPr>
            <w:tcW w:type="dxa" w:w="2520"/>
          </w:tcPr>
          <w:p>
            <w:pPr>
              <w:bidi w:val="1"/>
              <w:spacing w:before="20" w:after="20"/>
              <w:jc w:val="right"/>
            </w:pPr>
            <w:r/>
            <w:r>
              <w:rPr>
                <w:rFonts w:ascii="Tajawal" w:hAnsi="Tajawal" w:cs="Tajawal"/>
                <w:b w:val="0"/>
                <w:color w:val="333A36"/>
                <w:sz w:val="17"/>
                <w:szCs w:val="17"/>
                <w:rtl w:val="1"/>
              </w:rPr>
              <w:t>أدوات مراقبة الأعطال</w:t>
            </w:r>
          </w:p>
        </w:tc>
        <w:tc>
          <w:tcPr>
            <w:tcW w:type="dxa" w:w="2520"/>
          </w:tcPr>
          <w:p>
            <w:pPr>
              <w:bidi w:val="1"/>
              <w:spacing w:before="20" w:after="20"/>
              <w:jc w:val="right"/>
            </w:pPr>
            <w:r/>
            <w:r>
              <w:rPr>
                <w:rFonts w:ascii="Tajawal" w:hAnsi="Tajawal" w:cs="Tajawal"/>
                <w:b w:val="0"/>
                <w:color w:val="333A36"/>
                <w:sz w:val="17"/>
                <w:szCs w:val="17"/>
                <w:rtl w:val="1"/>
              </w:rPr>
              <w:t>تتبّع الأخطاء</w:t>
            </w:r>
          </w:p>
        </w:tc>
        <w:tc>
          <w:tcPr>
            <w:tcW w:type="dxa" w:w="2520"/>
          </w:tcPr>
          <w:p>
            <w:pPr>
              <w:bidi w:val="1"/>
              <w:spacing w:before="20" w:after="20"/>
              <w:jc w:val="center"/>
            </w:pPr>
            <w:r/>
            <w:r>
              <w:rPr>
                <w:rFonts w:ascii="Tajawal" w:hAnsi="Tajawal" w:cs="Tajawal"/>
                <w:b w:val="0"/>
                <w:color w:val="333A36"/>
                <w:sz w:val="17"/>
                <w:szCs w:val="17"/>
                <w:rtl w:val="1"/>
              </w:rPr>
              <w:t>المرحلة ١</w:t>
            </w:r>
          </w:p>
        </w:tc>
        <w:tc>
          <w:tcPr>
            <w:tcW w:type="dxa" w:w="2520"/>
          </w:tcPr>
          <w:p>
            <w:pPr>
              <w:bidi w:val="1"/>
              <w:spacing w:before="20" w:after="20"/>
              <w:jc w:val="right"/>
            </w:pPr>
            <w:r/>
            <w:r>
              <w:rPr>
                <w:rFonts w:ascii="Tajawal" w:hAnsi="Tajawal" w:cs="Tajawal"/>
                <w:b w:val="0"/>
                <w:color w:val="333A36"/>
                <w:sz w:val="17"/>
                <w:szCs w:val="17"/>
                <w:rtl w:val="1"/>
              </w:rPr>
              <w:t>خطّة مجانية كافية للإطلاق</w:t>
            </w:r>
          </w:p>
        </w:tc>
      </w:tr>
      <w:tr>
        <w:tc>
          <w:tcPr>
            <w:tcW w:type="dxa" w:w="2520"/>
            <w:shd w:val="clear" w:color="auto" w:fill="F5F8F6"/>
          </w:tcPr>
          <w:p>
            <w:pPr>
              <w:bidi w:val="1"/>
              <w:spacing w:before="20" w:after="20"/>
              <w:jc w:val="right"/>
            </w:pPr>
            <w:r/>
            <w:r>
              <w:rPr>
                <w:rFonts w:ascii="Tajawal" w:hAnsi="Tajawal" w:cs="Tajawal"/>
                <w:b w:val="0"/>
                <w:color w:val="333A36"/>
                <w:sz w:val="17"/>
                <w:szCs w:val="17"/>
                <w:rtl w:val="1"/>
              </w:rPr>
              <w:t>متجرا Google Play و App Store</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نشر التطبيقات</w:t>
            </w:r>
          </w:p>
        </w:tc>
        <w:tc>
          <w:tcPr>
            <w:tcW w:type="dxa" w:w="2520"/>
            <w:shd w:val="clear" w:color="auto" w:fill="F5F8F6"/>
          </w:tcPr>
          <w:p>
            <w:pPr>
              <w:bidi w:val="1"/>
              <w:spacing w:before="20" w:after="20"/>
              <w:jc w:val="center"/>
            </w:pPr>
            <w:r/>
            <w:r>
              <w:rPr>
                <w:rFonts w:ascii="Tajawal" w:hAnsi="Tajawal" w:cs="Tajawal"/>
                <w:b w:val="0"/>
                <w:color w:val="333A36"/>
                <w:sz w:val="17"/>
                <w:szCs w:val="17"/>
                <w:rtl w:val="1"/>
              </w:rPr>
              <w:t>المرحلة ١</w:t>
            </w:r>
          </w:p>
        </w:tc>
        <w:tc>
          <w:tcPr>
            <w:tcW w:type="dxa" w:w="2520"/>
            <w:shd w:val="clear" w:color="auto" w:fill="F5F8F6"/>
          </w:tcPr>
          <w:p>
            <w:pPr>
              <w:bidi w:val="1"/>
              <w:spacing w:before="20" w:after="20"/>
              <w:jc w:val="right"/>
            </w:pPr>
            <w:r/>
            <w:r>
              <w:rPr>
                <w:rFonts w:ascii="Tajawal" w:hAnsi="Tajawal" w:cs="Tajawal"/>
                <w:b w:val="0"/>
                <w:color w:val="333A36"/>
                <w:sz w:val="17"/>
                <w:szCs w:val="17"/>
                <w:rtl w:val="1"/>
              </w:rPr>
              <w:t>رسوم حسابات المطوّر</w:t>
            </w:r>
          </w:p>
        </w:tc>
      </w:tr>
      <w:tr>
        <w:tc>
          <w:tcPr>
            <w:tcW w:type="dxa" w:w="2520"/>
          </w:tcPr>
          <w:p>
            <w:pPr>
              <w:bidi w:val="1"/>
              <w:spacing w:before="20" w:after="20"/>
              <w:jc w:val="right"/>
            </w:pPr>
            <w:r/>
            <w:r>
              <w:rPr>
                <w:rFonts w:ascii="Tajawal" w:hAnsi="Tajawal" w:cs="Tajawal"/>
                <w:b w:val="0"/>
                <w:color w:val="333A36"/>
                <w:sz w:val="17"/>
                <w:szCs w:val="17"/>
                <w:rtl w:val="1"/>
              </w:rPr>
              <w:t>WhatsApp Business</w:t>
            </w:r>
          </w:p>
        </w:tc>
        <w:tc>
          <w:tcPr>
            <w:tcW w:type="dxa" w:w="2520"/>
          </w:tcPr>
          <w:p>
            <w:pPr>
              <w:bidi w:val="1"/>
              <w:spacing w:before="20" w:after="20"/>
              <w:jc w:val="right"/>
            </w:pPr>
            <w:r/>
            <w:r>
              <w:rPr>
                <w:rFonts w:ascii="Tajawal" w:hAnsi="Tajawal" w:cs="Tajawal"/>
                <w:b w:val="0"/>
                <w:color w:val="333A36"/>
                <w:sz w:val="17"/>
                <w:szCs w:val="17"/>
                <w:rtl w:val="1"/>
              </w:rPr>
              <w:t>قناة إشعارات إضافية</w:t>
            </w:r>
          </w:p>
        </w:tc>
        <w:tc>
          <w:tcPr>
            <w:tcW w:type="dxa" w:w="2520"/>
          </w:tcPr>
          <w:p>
            <w:pPr>
              <w:bidi w:val="1"/>
              <w:spacing w:before="20" w:after="20"/>
              <w:jc w:val="center"/>
            </w:pPr>
            <w:r/>
            <w:r>
              <w:rPr>
                <w:rFonts w:ascii="Tajawal" w:hAnsi="Tajawal" w:cs="Tajawal"/>
                <w:b w:val="0"/>
                <w:color w:val="333A36"/>
                <w:sz w:val="17"/>
                <w:szCs w:val="17"/>
                <w:rtl w:val="1"/>
              </w:rPr>
              <w:t>اختياري</w:t>
            </w:r>
          </w:p>
        </w:tc>
        <w:tc>
          <w:tcPr>
            <w:tcW w:type="dxa" w:w="2520"/>
          </w:tcPr>
          <w:p>
            <w:pPr>
              <w:bidi w:val="1"/>
              <w:spacing w:before="20" w:after="20"/>
              <w:jc w:val="right"/>
            </w:pPr>
            <w:r/>
            <w:r>
              <w:rPr>
                <w:rFonts w:ascii="Tajawal" w:hAnsi="Tajawal" w:cs="Tajawal"/>
                <w:b w:val="0"/>
                <w:color w:val="333A36"/>
                <w:sz w:val="17"/>
                <w:szCs w:val="17"/>
                <w:rtl w:val="1"/>
              </w:rPr>
              <w:t>يُسعَّر عند الطلب</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١٩ الأمان وحماية البيانات</w:t>
      </w:r>
    </w:p>
    <w:tbl>
      <w:tblPr>
        <w:tblStyle w:val="TableGrid"/>
        <w:bidiVisual w:val="1"/>
        <w:tblW w:type="auto" w:w="0"/>
        <w:jc w:val="right"/>
        <w:tblLook w:firstColumn="1" w:firstRow="1" w:lastColumn="0" w:lastRow="0" w:noHBand="0" w:noVBand="1" w:val="04A0"/>
      </w:tblPr>
      <w:tblGrid>
        <w:gridCol w:w="5040"/>
        <w:gridCol w:w="5040"/>
      </w:tblGrid>
      <w:tr>
        <w:tc>
          <w:tcPr>
            <w:tcW w:type="dxa" w:w="5040"/>
            <w:shd w:val="clear" w:color="auto" w:fill="14512F"/>
          </w:tcPr>
          <w:p>
            <w:pPr>
              <w:bidi w:val="1"/>
              <w:spacing w:before="20" w:after="20"/>
              <w:jc w:val="right"/>
            </w:pPr>
            <w:r/>
            <w:r>
              <w:rPr>
                <w:rFonts w:ascii="Tajawal" w:hAnsi="Tajawal" w:cs="Tajawal"/>
                <w:b/>
                <w:color w:val="FFFFFF"/>
                <w:sz w:val="17"/>
                <w:szCs w:val="17"/>
                <w:rtl w:val="1"/>
              </w:rPr>
              <w:t>المتطلّب في الوثيقة</w:t>
            </w:r>
          </w:p>
        </w:tc>
        <w:tc>
          <w:tcPr>
            <w:tcW w:type="dxa" w:w="5040"/>
            <w:shd w:val="clear" w:color="auto" w:fill="14512F"/>
          </w:tcPr>
          <w:p>
            <w:pPr>
              <w:bidi w:val="1"/>
              <w:spacing w:before="20" w:after="20"/>
              <w:jc w:val="right"/>
            </w:pPr>
            <w:r/>
            <w:r>
              <w:rPr>
                <w:rFonts w:ascii="Tajawal" w:hAnsi="Tajawal" w:cs="Tajawal"/>
                <w:b/>
                <w:color w:val="FFFFFF"/>
                <w:sz w:val="17"/>
                <w:szCs w:val="17"/>
                <w:rtl w:val="1"/>
              </w:rPr>
              <w:t>التنفيذ</w:t>
            </w:r>
          </w:p>
        </w:tc>
      </w:tr>
      <w:tr>
        <w:tc>
          <w:tcPr>
            <w:tcW w:type="dxa" w:w="5040"/>
          </w:tcPr>
          <w:p>
            <w:pPr>
              <w:bidi w:val="1"/>
              <w:spacing w:before="20" w:after="20"/>
              <w:jc w:val="right"/>
            </w:pPr>
            <w:r/>
            <w:r>
              <w:rPr>
                <w:rFonts w:ascii="Tajawal" w:hAnsi="Tajawal" w:cs="Tajawal"/>
                <w:b w:val="0"/>
                <w:color w:val="333A36"/>
                <w:sz w:val="17"/>
                <w:szCs w:val="17"/>
                <w:rtl w:val="1"/>
              </w:rPr>
              <w:t>تشفير الاتصال باستخدام SSL</w:t>
            </w:r>
          </w:p>
        </w:tc>
        <w:tc>
          <w:tcPr>
            <w:tcW w:type="dxa" w:w="5040"/>
          </w:tcPr>
          <w:p>
            <w:pPr>
              <w:bidi w:val="1"/>
              <w:spacing w:before="20" w:after="20"/>
              <w:jc w:val="right"/>
            </w:pPr>
            <w:r/>
            <w:r>
              <w:rPr>
                <w:rFonts w:ascii="Tajawal" w:hAnsi="Tajawal" w:cs="Tajawal"/>
                <w:b w:val="0"/>
                <w:color w:val="333A36"/>
                <w:sz w:val="17"/>
                <w:szCs w:val="17"/>
                <w:rtl w:val="1"/>
              </w:rPr>
              <w:t>TLS 1.3 إلزامي على كل النطاقات مع HSTS، وتثبيت الشهادة في التطبيق للمسارات الحسّاسة.</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تشفير كلمات المرور والبيانات الحسّاسة</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تجزئة Argon2id لأي كلمة مرور، وتشفير على مستوى العمود للحقول الحسّاسة، وتشفير القرص للنسخ الاحتياطية.</w:t>
            </w:r>
          </w:p>
        </w:tc>
      </w:tr>
      <w:tr>
        <w:tc>
          <w:tcPr>
            <w:tcW w:type="dxa" w:w="5040"/>
          </w:tcPr>
          <w:p>
            <w:pPr>
              <w:bidi w:val="1"/>
              <w:spacing w:before="20" w:after="20"/>
              <w:jc w:val="right"/>
            </w:pPr>
            <w:r/>
            <w:r>
              <w:rPr>
                <w:rFonts w:ascii="Tajawal" w:hAnsi="Tajawal" w:cs="Tajawal"/>
                <w:b w:val="0"/>
                <w:color w:val="333A36"/>
                <w:sz w:val="17"/>
                <w:szCs w:val="17"/>
                <w:rtl w:val="1"/>
              </w:rPr>
              <w:t>استخدام رموز دخول آمنة</w:t>
            </w:r>
          </w:p>
        </w:tc>
        <w:tc>
          <w:tcPr>
            <w:tcW w:type="dxa" w:w="5040"/>
          </w:tcPr>
          <w:p>
            <w:pPr>
              <w:bidi w:val="1"/>
              <w:spacing w:before="20" w:after="20"/>
              <w:jc w:val="right"/>
            </w:pPr>
            <w:r/>
            <w:r>
              <w:rPr>
                <w:rFonts w:ascii="Tajawal" w:hAnsi="Tajawal" w:cs="Tajawal"/>
                <w:b w:val="0"/>
                <w:color w:val="333A36"/>
                <w:sz w:val="17"/>
                <w:szCs w:val="17"/>
                <w:rtl w:val="1"/>
              </w:rPr>
              <w:t>JWT قصير العمر مع Refresh Token دوّار وكشف إعادة الاستخدام؛ الرموز في مخزن الجهاز المشفّر.</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تحديد مدّة جلسة المستخدم</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مدّة قابلة للضبط من اللوحة، وإنهاء الجلسات عن بُعد، وعرض الأجهزة النشطة للمستخدم.</w:t>
            </w:r>
          </w:p>
        </w:tc>
      </w:tr>
      <w:tr>
        <w:tc>
          <w:tcPr>
            <w:tcW w:type="dxa" w:w="5040"/>
          </w:tcPr>
          <w:p>
            <w:pPr>
              <w:bidi w:val="1"/>
              <w:spacing w:before="20" w:after="20"/>
              <w:jc w:val="right"/>
            </w:pPr>
            <w:r/>
            <w:r>
              <w:rPr>
                <w:rFonts w:ascii="Tajawal" w:hAnsi="Tajawal" w:cs="Tajawal"/>
                <w:b w:val="0"/>
                <w:color w:val="333A36"/>
                <w:sz w:val="17"/>
                <w:szCs w:val="17"/>
                <w:rtl w:val="1"/>
              </w:rPr>
              <w:t>منع المحاولات المتكرّرة لتسجيل الدخول</w:t>
            </w:r>
          </w:p>
        </w:tc>
        <w:tc>
          <w:tcPr>
            <w:tcW w:type="dxa" w:w="5040"/>
          </w:tcPr>
          <w:p>
            <w:pPr>
              <w:bidi w:val="1"/>
              <w:spacing w:before="20" w:after="20"/>
              <w:jc w:val="right"/>
            </w:pPr>
            <w:r/>
            <w:r>
              <w:rPr>
                <w:rFonts w:ascii="Tajawal" w:hAnsi="Tajawal" w:cs="Tajawal"/>
                <w:b w:val="0"/>
                <w:color w:val="333A36"/>
                <w:sz w:val="17"/>
                <w:szCs w:val="17"/>
                <w:rtl w:val="1"/>
              </w:rPr>
              <w:t>تحديد معدّل تصاعدي على الرقم وعنوان الشبكة والجهاز، مع تجميد مؤقّت وتنبيه إداري.</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تسجيل العمليات الحسّاسة</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سجلّ تدقيق غير قابل للتعديل لكل إجراء إداري ومالي، بالفاعل والزمن والقيمة قبل وبعد.</w:t>
            </w:r>
          </w:p>
        </w:tc>
      </w:tr>
      <w:tr>
        <w:tc>
          <w:tcPr>
            <w:tcW w:type="dxa" w:w="5040"/>
          </w:tcPr>
          <w:p>
            <w:pPr>
              <w:bidi w:val="1"/>
              <w:spacing w:before="20" w:after="20"/>
              <w:jc w:val="right"/>
            </w:pPr>
            <w:r/>
            <w:r>
              <w:rPr>
                <w:rFonts w:ascii="Tajawal" w:hAnsi="Tajawal" w:cs="Tajawal"/>
                <w:b w:val="0"/>
                <w:color w:val="333A36"/>
                <w:sz w:val="17"/>
                <w:szCs w:val="17"/>
                <w:rtl w:val="1"/>
              </w:rPr>
              <w:t>عدم إظهار الوثائق لموظفين غير مخوّلين</w:t>
            </w:r>
          </w:p>
        </w:tc>
        <w:tc>
          <w:tcPr>
            <w:tcW w:type="dxa" w:w="5040"/>
          </w:tcPr>
          <w:p>
            <w:pPr>
              <w:bidi w:val="1"/>
              <w:spacing w:before="20" w:after="20"/>
              <w:jc w:val="right"/>
            </w:pPr>
            <w:r/>
            <w:r>
              <w:rPr>
                <w:rFonts w:ascii="Tajawal" w:hAnsi="Tajawal" w:cs="Tajawal"/>
                <w:b w:val="0"/>
                <w:color w:val="333A36"/>
                <w:sz w:val="17"/>
                <w:szCs w:val="17"/>
                <w:rtl w:val="1"/>
              </w:rPr>
              <w:t>الوثائق في تخزين خاصّ بروابط موقّعة قصيرة الصلاحية، محكومة بالصلاحية، وكل وصول مُقيَّد.</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أخذ نسخ احتياطية دورية</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نسخ يومية كاملة وأرشفة سجلّ مستمرّة، مع اختبار استعادة دوري موثّق.</w:t>
            </w:r>
          </w:p>
        </w:tc>
      </w:tr>
      <w:tr>
        <w:tc>
          <w:tcPr>
            <w:tcW w:type="dxa" w:w="5040"/>
          </w:tcPr>
          <w:p>
            <w:pPr>
              <w:bidi w:val="1"/>
              <w:spacing w:before="20" w:after="20"/>
              <w:jc w:val="right"/>
            </w:pPr>
            <w:r/>
            <w:r>
              <w:rPr>
                <w:rFonts w:ascii="Tajawal" w:hAnsi="Tajawal" w:cs="Tajawal"/>
                <w:b w:val="0"/>
                <w:color w:val="333A36"/>
                <w:sz w:val="17"/>
                <w:szCs w:val="17"/>
                <w:rtl w:val="1"/>
              </w:rPr>
              <w:t>حماية واجهات API</w:t>
            </w:r>
          </w:p>
        </w:tc>
        <w:tc>
          <w:tcPr>
            <w:tcW w:type="dxa" w:w="5040"/>
          </w:tcPr>
          <w:p>
            <w:pPr>
              <w:bidi w:val="1"/>
              <w:spacing w:before="20" w:after="20"/>
              <w:jc w:val="right"/>
            </w:pPr>
            <w:r/>
            <w:r>
              <w:rPr>
                <w:rFonts w:ascii="Tajawal" w:hAnsi="Tajawal" w:cs="Tajawal"/>
                <w:b w:val="0"/>
                <w:color w:val="333A36"/>
                <w:sz w:val="17"/>
                <w:szCs w:val="17"/>
                <w:rtl w:val="1"/>
              </w:rPr>
              <w:t>مصادقة إلزامية، وتحقّق صارم من المُدخلات، وتحديد معدّل لكل مسار، ومنع الإفراط في جلب البيانات.</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حماية النظام من الطلبات المزيّفة</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تحقّق سلامة الجهاز، ومفاتيح توقيع للطلبات الحسّاسة، وكشف الأنماط الآلية.</w:t>
            </w:r>
          </w:p>
        </w:tc>
      </w:tr>
      <w:tr>
        <w:tc>
          <w:tcPr>
            <w:tcW w:type="dxa" w:w="5040"/>
          </w:tcPr>
          <w:p>
            <w:pPr>
              <w:bidi w:val="1"/>
              <w:spacing w:before="20" w:after="20"/>
              <w:jc w:val="right"/>
            </w:pPr>
            <w:r/>
            <w:r>
              <w:rPr>
                <w:rFonts w:ascii="Tajawal" w:hAnsi="Tajawal" w:cs="Tajawal"/>
                <w:b w:val="0"/>
                <w:color w:val="333A36"/>
                <w:sz w:val="17"/>
                <w:szCs w:val="17"/>
                <w:rtl w:val="1"/>
              </w:rPr>
              <w:t>تطبيق صلاحيات دقيقة للموظفين</w:t>
            </w:r>
          </w:p>
        </w:tc>
        <w:tc>
          <w:tcPr>
            <w:tcW w:type="dxa" w:w="5040"/>
          </w:tcPr>
          <w:p>
            <w:pPr>
              <w:bidi w:val="1"/>
              <w:spacing w:before="20" w:after="20"/>
              <w:jc w:val="right"/>
            </w:pPr>
            <w:r/>
            <w:r>
              <w:rPr>
                <w:rFonts w:ascii="Tajawal" w:hAnsi="Tajawal" w:cs="Tajawal"/>
                <w:b w:val="0"/>
                <w:color w:val="333A36"/>
                <w:sz w:val="17"/>
                <w:szCs w:val="17"/>
                <w:rtl w:val="1"/>
              </w:rPr>
              <w:t>RBAC على مستوى الإجراء والحقل، مع منع تصعيد الصلاحيات وفصل الواجبات في المسار المالي.</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حذف أو إخفاء البيانات وفق سياسة الخصوصية</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حذف عند الطلب مع تجهيل القيود المالية بدل حذفها، حفاظاً على سلامة الدفاتر.</w:t>
            </w:r>
          </w:p>
        </w:tc>
      </w:tr>
    </w:tbl>
    <w:p>
      <w:pPr>
        <w:spacing w:after="60"/>
      </w:pPr>
    </w:p>
    <w:p>
      <w:pPr>
        <w:bidi w:val="1"/>
        <w:spacing w:after="100" w:line="348" w:lineRule="auto"/>
        <w:jc w:val="right"/>
      </w:pPr>
      <w:r>
        <w:rPr>
          <w:rFonts w:ascii="Tajawal" w:hAnsi="Tajawal" w:cs="Tajawal"/>
          <w:b w:val="0"/>
          <w:color w:val="333A36"/>
          <w:sz w:val="18"/>
          <w:szCs w:val="18"/>
          <w:rtl w:val="1"/>
        </w:rPr>
        <w:t xml:space="preserve">إضافةً إلى ما سبق: فحص أمني آلي للاعتماديات في كل بناء، ومراجعة يدوية للمسارات الحرجة — المصادقة والدفع والصلاحيات ورفع الملفات — قبل الإطلاق، ومعالجة نتائجها ضمن نطاق التسليم. </w:t>
      </w:r>
    </w:p>
    <w:p>
      <w:pPr>
        <w:keepNext/>
        <w:pBdr>
          <w:bottom w:val="single" w:sz="12" w:space="3" w:color="14512F"/>
        </w:pBdr>
        <w:bidi w:val="1"/>
        <w:spacing w:before="320" w:after="40"/>
        <w:jc w:val="right"/>
      </w:pPr>
      <w:r>
        <w:rPr>
          <w:rFonts w:ascii="Tajawal" w:hAnsi="Tajawal" w:cs="Tajawal"/>
          <w:b/>
          <w:color w:val="141414"/>
          <w:sz w:val="36"/>
          <w:szCs w:val="36"/>
          <w:rtl w:val="1"/>
        </w:rPr>
        <w:t>٢٠ الأداء وقابلية التوسّع</w:t>
      </w:r>
    </w:p>
    <w:tbl>
      <w:tblPr>
        <w:tblStyle w:val="TableGrid"/>
        <w:bidiVisual w:val="1"/>
        <w:tblW w:type="auto" w:w="0"/>
        <w:jc w:val="right"/>
        <w:tblLook w:firstColumn="1" w:firstRow="1" w:lastColumn="0" w:lastRow="0" w:noHBand="0" w:noVBand="1" w:val="04A0"/>
      </w:tblPr>
      <w:tblGrid>
        <w:gridCol w:w="5040"/>
        <w:gridCol w:w="5040"/>
      </w:tblGrid>
      <w:tr>
        <w:tc>
          <w:tcPr>
            <w:tcW w:type="dxa" w:w="5040"/>
            <w:shd w:val="clear" w:color="auto" w:fill="14512F"/>
          </w:tcPr>
          <w:p>
            <w:pPr>
              <w:bidi w:val="1"/>
              <w:spacing w:before="20" w:after="20"/>
              <w:jc w:val="right"/>
            </w:pPr>
            <w:r/>
            <w:r>
              <w:rPr>
                <w:rFonts w:ascii="Tajawal" w:hAnsi="Tajawal" w:cs="Tajawal"/>
                <w:b/>
                <w:color w:val="FFFFFF"/>
                <w:sz w:val="17"/>
                <w:szCs w:val="17"/>
                <w:rtl w:val="1"/>
              </w:rPr>
              <w:t>المتطلّب</w:t>
            </w:r>
          </w:p>
        </w:tc>
        <w:tc>
          <w:tcPr>
            <w:tcW w:type="dxa" w:w="5040"/>
            <w:shd w:val="clear" w:color="auto" w:fill="14512F"/>
          </w:tcPr>
          <w:p>
            <w:pPr>
              <w:bidi w:val="1"/>
              <w:spacing w:before="20" w:after="20"/>
              <w:jc w:val="right"/>
            </w:pPr>
            <w:r/>
            <w:r>
              <w:rPr>
                <w:rFonts w:ascii="Tajawal" w:hAnsi="Tajawal" w:cs="Tajawal"/>
                <w:b/>
                <w:color w:val="FFFFFF"/>
                <w:sz w:val="17"/>
                <w:szCs w:val="17"/>
                <w:rtl w:val="1"/>
              </w:rPr>
              <w:t>التنفيذ والهدف القياسي</w:t>
            </w:r>
          </w:p>
        </w:tc>
      </w:tr>
      <w:tr>
        <w:tc>
          <w:tcPr>
            <w:tcW w:type="dxa" w:w="5040"/>
          </w:tcPr>
          <w:p>
            <w:pPr>
              <w:bidi w:val="1"/>
              <w:spacing w:before="20" w:after="20"/>
              <w:jc w:val="right"/>
            </w:pPr>
            <w:r/>
            <w:r>
              <w:rPr>
                <w:rFonts w:ascii="Tajawal" w:hAnsi="Tajawal" w:cs="Tajawal"/>
                <w:b w:val="0"/>
                <w:color w:val="333A36"/>
                <w:sz w:val="17"/>
                <w:szCs w:val="17"/>
                <w:rtl w:val="1"/>
              </w:rPr>
              <w:t>واجهات سريعة الاستجابة</w:t>
            </w:r>
          </w:p>
        </w:tc>
        <w:tc>
          <w:tcPr>
            <w:tcW w:type="dxa" w:w="5040"/>
          </w:tcPr>
          <w:p>
            <w:pPr>
              <w:bidi w:val="1"/>
              <w:spacing w:before="20" w:after="20"/>
              <w:jc w:val="right"/>
            </w:pPr>
            <w:r/>
            <w:r>
              <w:rPr>
                <w:rFonts w:ascii="Tajawal" w:hAnsi="Tajawal" w:cs="Tajawal"/>
                <w:b w:val="0"/>
                <w:color w:val="333A36"/>
                <w:sz w:val="17"/>
                <w:szCs w:val="17"/>
                <w:rtl w:val="1"/>
              </w:rPr>
              <w:t>هدف زمن استجابة API عند المئين التسعين أقلّ من ٤٠٠ مللي ثانية للمسارات الشائعة، وفهارس مُصمَّمة لكل استعلام في المسار الحرج.</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ضغط الصور والفيديوهات قبل الرفع</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ضغط على الجهاز قبل الإرسال، وتوليد مصغّرات وصيغ متعدّدة الدقّة على الخادم، والتوزيع عبر CDN.</w:t>
            </w:r>
          </w:p>
        </w:tc>
      </w:tr>
      <w:tr>
        <w:tc>
          <w:tcPr>
            <w:tcW w:type="dxa" w:w="5040"/>
          </w:tcPr>
          <w:p>
            <w:pPr>
              <w:bidi w:val="1"/>
              <w:spacing w:before="20" w:after="20"/>
              <w:jc w:val="right"/>
            </w:pPr>
            <w:r/>
            <w:r>
              <w:rPr>
                <w:rFonts w:ascii="Tajawal" w:hAnsi="Tajawal" w:cs="Tajawal"/>
                <w:b w:val="0"/>
                <w:color w:val="333A36"/>
                <w:sz w:val="17"/>
                <w:szCs w:val="17"/>
                <w:rtl w:val="1"/>
              </w:rPr>
              <w:t>التحميل التدريجي للبيانات</w:t>
            </w:r>
          </w:p>
        </w:tc>
        <w:tc>
          <w:tcPr>
            <w:tcW w:type="dxa" w:w="5040"/>
          </w:tcPr>
          <w:p>
            <w:pPr>
              <w:bidi w:val="1"/>
              <w:spacing w:before="20" w:after="20"/>
              <w:jc w:val="right"/>
            </w:pPr>
            <w:r/>
            <w:r>
              <w:rPr>
                <w:rFonts w:ascii="Tajawal" w:hAnsi="Tajawal" w:cs="Tajawal"/>
                <w:b w:val="0"/>
                <w:color w:val="333A36"/>
                <w:sz w:val="17"/>
                <w:szCs w:val="17"/>
                <w:rtl w:val="1"/>
              </w:rPr>
              <w:t>ترقيم بالمؤشّر في كل القوائم، وتحميل كسول للصور.</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عدم التوقّف عند ضعف الاتصال</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ذاكرة محلّية للقراءة، وطابور عمليات للكتابة يُعاد إرساله عند عودة الشبكة، ورسائل حالة واضحة.</w:t>
            </w:r>
          </w:p>
        </w:tc>
      </w:tr>
      <w:tr>
        <w:tc>
          <w:tcPr>
            <w:tcW w:type="dxa" w:w="5040"/>
          </w:tcPr>
          <w:p>
            <w:pPr>
              <w:bidi w:val="1"/>
              <w:spacing w:before="20" w:after="20"/>
              <w:jc w:val="right"/>
            </w:pPr>
            <w:r/>
            <w:r>
              <w:rPr>
                <w:rFonts w:ascii="Tajawal" w:hAnsi="Tajawal" w:cs="Tajawal"/>
                <w:b w:val="0"/>
                <w:color w:val="333A36"/>
                <w:sz w:val="17"/>
                <w:szCs w:val="17"/>
                <w:rtl w:val="1"/>
              </w:rPr>
              <w:t>استيعاب زيادة المستخدمين والطلبات</w:t>
            </w:r>
          </w:p>
        </w:tc>
        <w:tc>
          <w:tcPr>
            <w:tcW w:type="dxa" w:w="5040"/>
          </w:tcPr>
          <w:p>
            <w:pPr>
              <w:bidi w:val="1"/>
              <w:spacing w:before="20" w:after="20"/>
              <w:jc w:val="right"/>
            </w:pPr>
            <w:r/>
            <w:r>
              <w:rPr>
                <w:rFonts w:ascii="Tajawal" w:hAnsi="Tajawal" w:cs="Tajawal"/>
                <w:b w:val="0"/>
                <w:color w:val="333A36"/>
                <w:sz w:val="17"/>
                <w:szCs w:val="17"/>
                <w:rtl w:val="1"/>
              </w:rPr>
              <w:t>خوادم عديمة الحالة خلف موازن حمل، وتوسّع أفقي للعمّال، ونسخ قراءة لقاعدة البيانات عند الحاجة.</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٢١ الموثوقية والنسخ الاحتياطي والمراقبة</w:t>
      </w:r>
    </w:p>
    <w:tbl>
      <w:tblPr>
        <w:tblStyle w:val="TableGrid"/>
        <w:bidiVisual w:val="1"/>
        <w:tblW w:type="auto" w:w="0"/>
        <w:jc w:val="right"/>
        <w:tblLook w:firstColumn="1" w:firstRow="1" w:lastColumn="0" w:lastRow="0" w:noHBand="0" w:noVBand="1" w:val="04A0"/>
      </w:tblPr>
      <w:tblGrid>
        <w:gridCol w:w="5040"/>
        <w:gridCol w:w="5040"/>
      </w:tblGrid>
      <w:tr>
        <w:tc>
          <w:tcPr>
            <w:tcW w:type="dxa" w:w="5040"/>
            <w:shd w:val="clear" w:color="auto" w:fill="F5F8F6"/>
          </w:tcPr>
          <w:p>
            <w:pPr>
              <w:bidi w:val="1"/>
              <w:spacing w:after="20"/>
              <w:jc w:val="right"/>
            </w:pPr>
            <w:r/>
            <w:r>
              <w:rPr>
                <w:rFonts w:ascii="Tajawal" w:hAnsi="Tajawal" w:cs="Tajawal"/>
                <w:b/>
                <w:color w:val="14512F"/>
                <w:sz w:val="18"/>
                <w:szCs w:val="18"/>
                <w:rtl w:val="1"/>
              </w:rPr>
              <w:t>استمرارية البيانات</w:t>
            </w:r>
          </w:p>
          <w:p>
            <w:pPr>
              <w:bidi w:val="1"/>
              <w:spacing w:after="10"/>
              <w:jc w:val="right"/>
            </w:pPr>
            <w:r>
              <w:rPr>
                <w:rFonts w:ascii="Tajawal" w:hAnsi="Tajawal" w:cs="Tajawal"/>
                <w:b w:val="0"/>
                <w:color w:val="333A36"/>
                <w:sz w:val="17"/>
                <w:szCs w:val="17"/>
                <w:rtl w:val="1"/>
              </w:rPr>
              <w:t>• نسخ احتياطي يومي كامل مع أرشفة سجلّ مستمرّة</w:t>
            </w:r>
          </w:p>
          <w:p>
            <w:pPr>
              <w:bidi w:val="1"/>
              <w:spacing w:after="10"/>
              <w:jc w:val="right"/>
            </w:pPr>
            <w:r>
              <w:rPr>
                <w:rFonts w:ascii="Tajawal" w:hAnsi="Tajawal" w:cs="Tajawal"/>
                <w:b w:val="0"/>
                <w:color w:val="333A36"/>
                <w:sz w:val="17"/>
                <w:szCs w:val="17"/>
                <w:rtl w:val="1"/>
              </w:rPr>
              <w:t>• استعادة إلى نقطة زمنية محدّدة</w:t>
            </w:r>
          </w:p>
          <w:p>
            <w:pPr>
              <w:bidi w:val="1"/>
              <w:spacing w:after="10"/>
              <w:jc w:val="right"/>
            </w:pPr>
            <w:r>
              <w:rPr>
                <w:rFonts w:ascii="Tajawal" w:hAnsi="Tajawal" w:cs="Tajawal"/>
                <w:b w:val="0"/>
                <w:color w:val="333A36"/>
                <w:sz w:val="17"/>
                <w:szCs w:val="17"/>
                <w:rtl w:val="1"/>
              </w:rPr>
              <w:t>• اختبار استعادة دوري موثّق بتقرير</w:t>
            </w:r>
          </w:p>
          <w:p>
            <w:pPr>
              <w:bidi w:val="1"/>
              <w:spacing w:after="10"/>
              <w:jc w:val="right"/>
            </w:pPr>
            <w:r>
              <w:rPr>
                <w:rFonts w:ascii="Tajawal" w:hAnsi="Tajawal" w:cs="Tajawal"/>
                <w:b w:val="0"/>
                <w:color w:val="333A36"/>
                <w:sz w:val="17"/>
                <w:szCs w:val="17"/>
                <w:rtl w:val="1"/>
              </w:rPr>
              <w:t>• نسخة احتياطية كاملة تُسلَّم عند التسليم النهائي</w:t>
            </w:r>
          </w:p>
        </w:tc>
        <w:tc>
          <w:tcPr>
            <w:tcW w:type="dxa" w:w="5040"/>
            <w:shd w:val="clear" w:color="auto" w:fill="F5F8F6"/>
          </w:tcPr>
          <w:p>
            <w:pPr>
              <w:bidi w:val="1"/>
              <w:spacing w:after="20"/>
              <w:jc w:val="right"/>
            </w:pPr>
            <w:r/>
            <w:r>
              <w:rPr>
                <w:rFonts w:ascii="Tajawal" w:hAnsi="Tajawal" w:cs="Tajawal"/>
                <w:b/>
                <w:color w:val="14512F"/>
                <w:sz w:val="18"/>
                <w:szCs w:val="18"/>
                <w:rtl w:val="1"/>
              </w:rPr>
              <w:t>استمرارية الخدمة</w:t>
            </w:r>
          </w:p>
          <w:p>
            <w:pPr>
              <w:bidi w:val="1"/>
              <w:spacing w:after="10"/>
              <w:jc w:val="right"/>
            </w:pPr>
            <w:r>
              <w:rPr>
                <w:rFonts w:ascii="Tajawal" w:hAnsi="Tajawal" w:cs="Tajawal"/>
                <w:b w:val="0"/>
                <w:color w:val="333A36"/>
                <w:sz w:val="17"/>
                <w:szCs w:val="17"/>
                <w:rtl w:val="1"/>
              </w:rPr>
              <w:t>• مراقبة الأعطال والتنبيه الفوري</w:t>
            </w:r>
          </w:p>
          <w:p>
            <w:pPr>
              <w:bidi w:val="1"/>
              <w:spacing w:after="10"/>
              <w:jc w:val="right"/>
            </w:pPr>
            <w:r>
              <w:rPr>
                <w:rFonts w:ascii="Tajawal" w:hAnsi="Tajawal" w:cs="Tajawal"/>
                <w:b w:val="0"/>
                <w:color w:val="333A36"/>
                <w:sz w:val="17"/>
                <w:szCs w:val="17"/>
                <w:rtl w:val="1"/>
              </w:rPr>
              <w:t>• تسجيل مركزي للأخطاء والسجلّات</w:t>
            </w:r>
          </w:p>
          <w:p>
            <w:pPr>
              <w:bidi w:val="1"/>
              <w:spacing w:after="10"/>
              <w:jc w:val="right"/>
            </w:pPr>
            <w:r>
              <w:rPr>
                <w:rFonts w:ascii="Tajawal" w:hAnsi="Tajawal" w:cs="Tajawal"/>
                <w:b w:val="0"/>
                <w:color w:val="333A36"/>
                <w:sz w:val="17"/>
                <w:szCs w:val="17"/>
                <w:rtl w:val="1"/>
              </w:rPr>
              <w:t>• عدم فقدان الطلبات عند انقطاع الاتصال عبر الطوابير</w:t>
            </w:r>
          </w:p>
          <w:p>
            <w:pPr>
              <w:bidi w:val="1"/>
              <w:spacing w:after="10"/>
              <w:jc w:val="right"/>
            </w:pPr>
            <w:r>
              <w:rPr>
                <w:rFonts w:ascii="Tajawal" w:hAnsi="Tajawal" w:cs="Tajawal"/>
                <w:b w:val="0"/>
                <w:color w:val="333A36"/>
                <w:sz w:val="17"/>
                <w:szCs w:val="17"/>
                <w:rtl w:val="1"/>
              </w:rPr>
              <w:t>• بيئة اختبار منفصلة تماماً عن بيئة الإنتاج</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٢٢ الاختبارات وضمان الجودة</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النوع</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النطاق</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الأداة والمعيار</w:t>
            </w:r>
          </w:p>
        </w:tc>
      </w:tr>
      <w:tr>
        <w:tc>
          <w:tcPr>
            <w:tcW w:type="dxa" w:w="3360"/>
          </w:tcPr>
          <w:p>
            <w:pPr>
              <w:bidi w:val="1"/>
              <w:spacing w:before="20" w:after="20"/>
              <w:jc w:val="right"/>
            </w:pPr>
            <w:r/>
            <w:r>
              <w:rPr>
                <w:rFonts w:ascii="Tajawal" w:hAnsi="Tajawal" w:cs="Tajawal"/>
                <w:b w:val="0"/>
                <w:color w:val="333A36"/>
                <w:sz w:val="17"/>
                <w:szCs w:val="17"/>
                <w:rtl w:val="1"/>
              </w:rPr>
              <w:t>اختبارات الوحدة</w:t>
            </w:r>
          </w:p>
        </w:tc>
        <w:tc>
          <w:tcPr>
            <w:tcW w:type="dxa" w:w="3360"/>
          </w:tcPr>
          <w:p>
            <w:pPr>
              <w:bidi w:val="1"/>
              <w:spacing w:before="20" w:after="20"/>
              <w:jc w:val="right"/>
            </w:pPr>
            <w:r/>
            <w:r>
              <w:rPr>
                <w:rFonts w:ascii="Tajawal" w:hAnsi="Tajawal" w:cs="Tajawal"/>
                <w:b w:val="0"/>
                <w:color w:val="333A36"/>
                <w:sz w:val="17"/>
                <w:szCs w:val="17"/>
                <w:rtl w:val="1"/>
              </w:rPr>
              <w:t>منطق الأعمال الحرج</w:t>
            </w:r>
          </w:p>
        </w:tc>
        <w:tc>
          <w:tcPr>
            <w:tcW w:type="dxa" w:w="3360"/>
          </w:tcPr>
          <w:p>
            <w:pPr>
              <w:bidi w:val="1"/>
              <w:spacing w:before="20" w:after="20"/>
              <w:jc w:val="right"/>
            </w:pPr>
            <w:r/>
            <w:r>
              <w:rPr>
                <w:rFonts w:ascii="Tajawal" w:hAnsi="Tajawal" w:cs="Tajawal"/>
                <w:b w:val="0"/>
                <w:color w:val="333A36"/>
                <w:sz w:val="17"/>
                <w:szCs w:val="17"/>
                <w:rtl w:val="1"/>
              </w:rPr>
              <w:t>تغطية لا تقلّ عن ٧٠٪ للوحدات المالية وآلة الحالات.</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اختبارات التكامل</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واجهات API وقاعدة البيانات</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على قاعدة اختبار معزولة تُبنى وتُهدَم مع كل تشغيل.</w:t>
            </w:r>
          </w:p>
        </w:tc>
      </w:tr>
      <w:tr>
        <w:tc>
          <w:tcPr>
            <w:tcW w:type="dxa" w:w="3360"/>
          </w:tcPr>
          <w:p>
            <w:pPr>
              <w:bidi w:val="1"/>
              <w:spacing w:before="20" w:after="20"/>
              <w:jc w:val="right"/>
            </w:pPr>
            <w:r/>
            <w:r>
              <w:rPr>
                <w:rFonts w:ascii="Tajawal" w:hAnsi="Tajawal" w:cs="Tajawal"/>
                <w:b w:val="0"/>
                <w:color w:val="333A36"/>
                <w:sz w:val="17"/>
                <w:szCs w:val="17"/>
                <w:rtl w:val="1"/>
              </w:rPr>
              <w:t>اختبارات الواجهة الطرفية</w:t>
            </w:r>
          </w:p>
        </w:tc>
        <w:tc>
          <w:tcPr>
            <w:tcW w:type="dxa" w:w="3360"/>
          </w:tcPr>
          <w:p>
            <w:pPr>
              <w:bidi w:val="1"/>
              <w:spacing w:before="20" w:after="20"/>
              <w:jc w:val="right"/>
            </w:pPr>
            <w:r/>
            <w:r>
              <w:rPr>
                <w:rFonts w:ascii="Tajawal" w:hAnsi="Tajawal" w:cs="Tajawal"/>
                <w:b w:val="0"/>
                <w:color w:val="333A36"/>
                <w:sz w:val="17"/>
                <w:szCs w:val="17"/>
                <w:rtl w:val="1"/>
              </w:rPr>
              <w:t>مسارات المستخدم الكاملة</w:t>
            </w:r>
          </w:p>
        </w:tc>
        <w:tc>
          <w:tcPr>
            <w:tcW w:type="dxa" w:w="3360"/>
          </w:tcPr>
          <w:p>
            <w:pPr>
              <w:bidi w:val="1"/>
              <w:spacing w:before="20" w:after="20"/>
              <w:jc w:val="right"/>
            </w:pPr>
            <w:r/>
            <w:r>
              <w:rPr>
                <w:rFonts w:ascii="Tajawal" w:hAnsi="Tajawal" w:cs="Tajawal"/>
                <w:b w:val="0"/>
                <w:color w:val="333A36"/>
                <w:sz w:val="17"/>
                <w:szCs w:val="17"/>
                <w:rtl w:val="1"/>
              </w:rPr>
              <w:t>دورة الطلب كاملة من الإنشاء إلى التقييم.</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اختبارات الأداء</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الأحمال المتوقّعة</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سيناريوهات ذروة على التوزيع والعروض والمحادثة.</w:t>
            </w:r>
          </w:p>
        </w:tc>
      </w:tr>
      <w:tr>
        <w:tc>
          <w:tcPr>
            <w:tcW w:type="dxa" w:w="3360"/>
          </w:tcPr>
          <w:p>
            <w:pPr>
              <w:bidi w:val="1"/>
              <w:spacing w:before="20" w:after="20"/>
              <w:jc w:val="right"/>
            </w:pPr>
            <w:r/>
            <w:r>
              <w:rPr>
                <w:rFonts w:ascii="Tajawal" w:hAnsi="Tajawal" w:cs="Tajawal"/>
                <w:b w:val="0"/>
                <w:color w:val="333A36"/>
                <w:sz w:val="17"/>
                <w:szCs w:val="17"/>
                <w:rtl w:val="1"/>
              </w:rPr>
              <w:t>اختبارات الأمان</w:t>
            </w:r>
          </w:p>
        </w:tc>
        <w:tc>
          <w:tcPr>
            <w:tcW w:type="dxa" w:w="3360"/>
          </w:tcPr>
          <w:p>
            <w:pPr>
              <w:bidi w:val="1"/>
              <w:spacing w:before="20" w:after="20"/>
              <w:jc w:val="right"/>
            </w:pPr>
            <w:r/>
            <w:r>
              <w:rPr>
                <w:rFonts w:ascii="Tajawal" w:hAnsi="Tajawal" w:cs="Tajawal"/>
                <w:b w:val="0"/>
                <w:color w:val="333A36"/>
                <w:sz w:val="17"/>
                <w:szCs w:val="17"/>
                <w:rtl w:val="1"/>
              </w:rPr>
              <w:t>المسارات الحرجة</w:t>
            </w:r>
          </w:p>
        </w:tc>
        <w:tc>
          <w:tcPr>
            <w:tcW w:type="dxa" w:w="3360"/>
          </w:tcPr>
          <w:p>
            <w:pPr>
              <w:bidi w:val="1"/>
              <w:spacing w:before="20" w:after="20"/>
              <w:jc w:val="right"/>
            </w:pPr>
            <w:r/>
            <w:r>
              <w:rPr>
                <w:rFonts w:ascii="Tajawal" w:hAnsi="Tajawal" w:cs="Tajawal"/>
                <w:b w:val="0"/>
                <w:color w:val="333A36"/>
                <w:sz w:val="17"/>
                <w:szCs w:val="17"/>
                <w:rtl w:val="1"/>
              </w:rPr>
              <w:t>فحص آلي للاعتماديات مع مراجعة يدوية للمصادقة والدفع والصلاحيات ورفع الملفات.</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اختبار القبول</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معايير الاستلام كاملة</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تنفيذ سيناريوهات القسم ٧ من المستند المالي بحضور الجهة المالكة وتوقيع محضر.</w:t>
            </w:r>
          </w:p>
        </w:tc>
      </w:tr>
      <w:tr>
        <w:tc>
          <w:tcPr>
            <w:tcW w:type="dxa" w:w="3360"/>
          </w:tcPr>
          <w:p>
            <w:pPr>
              <w:bidi w:val="1"/>
              <w:spacing w:before="20" w:after="20"/>
              <w:jc w:val="right"/>
            </w:pPr>
            <w:r/>
            <w:r>
              <w:rPr>
                <w:rFonts w:ascii="Tajawal" w:hAnsi="Tajawal" w:cs="Tajawal"/>
                <w:b w:val="0"/>
                <w:color w:val="333A36"/>
                <w:sz w:val="17"/>
                <w:szCs w:val="17"/>
                <w:rtl w:val="1"/>
              </w:rPr>
              <w:t>اختبار الأجهزة</w:t>
            </w:r>
          </w:p>
        </w:tc>
        <w:tc>
          <w:tcPr>
            <w:tcW w:type="dxa" w:w="3360"/>
          </w:tcPr>
          <w:p>
            <w:pPr>
              <w:bidi w:val="1"/>
              <w:spacing w:before="20" w:after="20"/>
              <w:jc w:val="right"/>
            </w:pPr>
            <w:r/>
            <w:r>
              <w:rPr>
                <w:rFonts w:ascii="Tajawal" w:hAnsi="Tajawal" w:cs="Tajawal"/>
                <w:b w:val="0"/>
                <w:color w:val="333A36"/>
                <w:sz w:val="17"/>
                <w:szCs w:val="17"/>
                <w:rtl w:val="1"/>
              </w:rPr>
              <w:t>Android و iOS</w:t>
            </w:r>
          </w:p>
        </w:tc>
        <w:tc>
          <w:tcPr>
            <w:tcW w:type="dxa" w:w="3360"/>
          </w:tcPr>
          <w:p>
            <w:pPr>
              <w:bidi w:val="1"/>
              <w:spacing w:before="20" w:after="20"/>
              <w:jc w:val="right"/>
            </w:pPr>
            <w:r/>
            <w:r>
              <w:rPr>
                <w:rFonts w:ascii="Tajawal" w:hAnsi="Tajawal" w:cs="Tajawal"/>
                <w:b w:val="0"/>
                <w:color w:val="333A36"/>
                <w:sz w:val="17"/>
                <w:szCs w:val="17"/>
                <w:rtl w:val="1"/>
              </w:rPr>
              <w:t>مصفوفة أجهزة حقيقية تغطّي الشائع في السوق المستهدف.</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٢٣ البنية التحتية والنشر والتشغيل</w:t>
      </w:r>
    </w:p>
    <w:tbl>
      <w:tblPr>
        <w:tblStyle w:val="TableGrid"/>
        <w:bidiVisual w:val="1"/>
        <w:tblW w:type="auto" w:w="0"/>
        <w:jc w:val="right"/>
        <w:tblLook w:firstColumn="1" w:firstRow="1" w:lastColumn="0" w:lastRow="0" w:noHBand="0" w:noVBand="1" w:val="04A0"/>
      </w:tblPr>
      <w:tblGrid>
        <w:gridCol w:w="3360"/>
        <w:gridCol w:w="3360"/>
        <w:gridCol w:w="3360"/>
      </w:tblGrid>
      <w:tr>
        <w:tc>
          <w:tcPr>
            <w:tcW w:type="dxa" w:w="3360"/>
            <w:shd w:val="clear" w:color="auto" w:fill="14512F"/>
          </w:tcPr>
          <w:p>
            <w:pPr>
              <w:bidi w:val="1"/>
              <w:spacing w:before="20" w:after="20"/>
              <w:jc w:val="right"/>
            </w:pPr>
            <w:r/>
            <w:r>
              <w:rPr>
                <w:rFonts w:ascii="Tajawal" w:hAnsi="Tajawal" w:cs="Tajawal"/>
                <w:b/>
                <w:color w:val="FFFFFF"/>
                <w:sz w:val="17"/>
                <w:szCs w:val="17"/>
                <w:rtl w:val="1"/>
              </w:rPr>
              <w:t>البيئة</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الغرض</w:t>
            </w:r>
          </w:p>
        </w:tc>
        <w:tc>
          <w:tcPr>
            <w:tcW w:type="dxa" w:w="3360"/>
            <w:shd w:val="clear" w:color="auto" w:fill="14512F"/>
          </w:tcPr>
          <w:p>
            <w:pPr>
              <w:bidi w:val="1"/>
              <w:spacing w:before="20" w:after="20"/>
              <w:jc w:val="right"/>
            </w:pPr>
            <w:r/>
            <w:r>
              <w:rPr>
                <w:rFonts w:ascii="Tajawal" w:hAnsi="Tajawal" w:cs="Tajawal"/>
                <w:b/>
                <w:color w:val="FFFFFF"/>
                <w:sz w:val="17"/>
                <w:szCs w:val="17"/>
                <w:rtl w:val="1"/>
              </w:rPr>
              <w:t>المواصفات</w:t>
            </w:r>
          </w:p>
        </w:tc>
      </w:tr>
      <w:tr>
        <w:tc>
          <w:tcPr>
            <w:tcW w:type="dxa" w:w="3360"/>
          </w:tcPr>
          <w:p>
            <w:pPr>
              <w:bidi w:val="1"/>
              <w:spacing w:before="20" w:after="20"/>
              <w:jc w:val="right"/>
            </w:pPr>
            <w:r/>
            <w:r>
              <w:rPr>
                <w:rFonts w:ascii="Tajawal" w:hAnsi="Tajawal" w:cs="Tajawal"/>
                <w:b w:val="0"/>
                <w:color w:val="333A36"/>
                <w:sz w:val="17"/>
                <w:szCs w:val="17"/>
                <w:rtl w:val="1"/>
              </w:rPr>
              <w:t>التطوير</w:t>
            </w:r>
          </w:p>
        </w:tc>
        <w:tc>
          <w:tcPr>
            <w:tcW w:type="dxa" w:w="3360"/>
          </w:tcPr>
          <w:p>
            <w:pPr>
              <w:bidi w:val="1"/>
              <w:spacing w:before="20" w:after="20"/>
              <w:jc w:val="right"/>
            </w:pPr>
            <w:r/>
            <w:r>
              <w:rPr>
                <w:rFonts w:ascii="Tajawal" w:hAnsi="Tajawal" w:cs="Tajawal"/>
                <w:b w:val="0"/>
                <w:color w:val="333A36"/>
                <w:sz w:val="17"/>
                <w:szCs w:val="17"/>
                <w:rtl w:val="1"/>
              </w:rPr>
              <w:t>عمل الفريق اليومي</w:t>
            </w:r>
          </w:p>
        </w:tc>
        <w:tc>
          <w:tcPr>
            <w:tcW w:type="dxa" w:w="3360"/>
          </w:tcPr>
          <w:p>
            <w:pPr>
              <w:bidi w:val="1"/>
              <w:spacing w:before="20" w:after="20"/>
              <w:jc w:val="right"/>
            </w:pPr>
            <w:r/>
            <w:r>
              <w:rPr>
                <w:rFonts w:ascii="Tajawal" w:hAnsi="Tajawal" w:cs="Tajawal"/>
                <w:b w:val="0"/>
                <w:color w:val="333A36"/>
                <w:sz w:val="17"/>
                <w:szCs w:val="17"/>
                <w:rtl w:val="1"/>
              </w:rPr>
              <w:t>حاويات محلّية مطابقة للإنتاج ببيانات وهمية.</w:t>
            </w:r>
          </w:p>
        </w:tc>
      </w:tr>
      <w:tr>
        <w:tc>
          <w:tcPr>
            <w:tcW w:type="dxa" w:w="3360"/>
            <w:shd w:val="clear" w:color="auto" w:fill="F5F8F6"/>
          </w:tcPr>
          <w:p>
            <w:pPr>
              <w:bidi w:val="1"/>
              <w:spacing w:before="20" w:after="20"/>
              <w:jc w:val="right"/>
            </w:pPr>
            <w:r/>
            <w:r>
              <w:rPr>
                <w:rFonts w:ascii="Tajawal" w:hAnsi="Tajawal" w:cs="Tajawal"/>
                <w:b w:val="0"/>
                <w:color w:val="333A36"/>
                <w:sz w:val="17"/>
                <w:szCs w:val="17"/>
                <w:rtl w:val="1"/>
              </w:rPr>
              <w:t>الاختبار</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اختبار القبول والمراجعة</w:t>
            </w:r>
          </w:p>
        </w:tc>
        <w:tc>
          <w:tcPr>
            <w:tcW w:type="dxa" w:w="3360"/>
            <w:shd w:val="clear" w:color="auto" w:fill="F5F8F6"/>
          </w:tcPr>
          <w:p>
            <w:pPr>
              <w:bidi w:val="1"/>
              <w:spacing w:before="20" w:after="20"/>
              <w:jc w:val="right"/>
            </w:pPr>
            <w:r/>
            <w:r>
              <w:rPr>
                <w:rFonts w:ascii="Tajawal" w:hAnsi="Tajawal" w:cs="Tajawal"/>
                <w:b w:val="0"/>
                <w:color w:val="333A36"/>
                <w:sz w:val="17"/>
                <w:szCs w:val="17"/>
                <w:rtl w:val="1"/>
              </w:rPr>
              <w:t>نسخة مطابقة للإنتاج ببيانات مجهّلة — مطلب صريح في الوثيقة.</w:t>
            </w:r>
          </w:p>
        </w:tc>
      </w:tr>
      <w:tr>
        <w:tc>
          <w:tcPr>
            <w:tcW w:type="dxa" w:w="3360"/>
          </w:tcPr>
          <w:p>
            <w:pPr>
              <w:bidi w:val="1"/>
              <w:spacing w:before="20" w:after="20"/>
              <w:jc w:val="right"/>
            </w:pPr>
            <w:r/>
            <w:r>
              <w:rPr>
                <w:rFonts w:ascii="Tajawal" w:hAnsi="Tajawal" w:cs="Tajawal"/>
                <w:b w:val="0"/>
                <w:color w:val="333A36"/>
                <w:sz w:val="17"/>
                <w:szCs w:val="17"/>
                <w:rtl w:val="1"/>
              </w:rPr>
              <w:t>الإنتاج</w:t>
            </w:r>
          </w:p>
        </w:tc>
        <w:tc>
          <w:tcPr>
            <w:tcW w:type="dxa" w:w="3360"/>
          </w:tcPr>
          <w:p>
            <w:pPr>
              <w:bidi w:val="1"/>
              <w:spacing w:before="20" w:after="20"/>
              <w:jc w:val="right"/>
            </w:pPr>
            <w:r/>
            <w:r>
              <w:rPr>
                <w:rFonts w:ascii="Tajawal" w:hAnsi="Tajawal" w:cs="Tajawal"/>
                <w:b w:val="0"/>
                <w:color w:val="333A36"/>
                <w:sz w:val="17"/>
                <w:szCs w:val="17"/>
                <w:rtl w:val="1"/>
              </w:rPr>
              <w:t>التشغيل الفعلي</w:t>
            </w:r>
          </w:p>
        </w:tc>
        <w:tc>
          <w:tcPr>
            <w:tcW w:type="dxa" w:w="3360"/>
          </w:tcPr>
          <w:p>
            <w:pPr>
              <w:bidi w:val="1"/>
              <w:spacing w:before="20" w:after="20"/>
              <w:jc w:val="right"/>
            </w:pPr>
            <w:r/>
            <w:r>
              <w:rPr>
                <w:rFonts w:ascii="Tajawal" w:hAnsi="Tajawal" w:cs="Tajawal"/>
                <w:b w:val="0"/>
                <w:color w:val="333A36"/>
                <w:sz w:val="17"/>
                <w:szCs w:val="17"/>
                <w:rtl w:val="1"/>
              </w:rPr>
              <w:t>خوادم بموازن حمل، وقاعدة بيانات مُدارة بنسخ احتياطي آلي، وتخزين كائنات مع CDN.</w:t>
            </w:r>
          </w:p>
        </w:tc>
      </w:tr>
    </w:tbl>
    <w:p>
      <w:pPr>
        <w:spacing w:after="60"/>
      </w:pPr>
    </w:p>
    <w:p>
      <w:pPr>
        <w:bidi w:val="1"/>
        <w:spacing w:after="100" w:line="348" w:lineRule="auto"/>
        <w:jc w:val="right"/>
      </w:pPr>
      <w:r>
        <w:rPr>
          <w:rFonts w:ascii="Tajawal" w:hAnsi="Tajawal" w:cs="Tajawal"/>
          <w:b w:val="0"/>
          <w:color w:val="333A36"/>
          <w:sz w:val="18"/>
          <w:szCs w:val="18"/>
          <w:rtl w:val="1"/>
        </w:rPr>
        <w:t xml:space="preserve">خطّ نشر آلي: دفع الشيفرة ← بناء ← اختبارات ← فحص أمني ← نشر على بيئة الاختبار ← موافقة ← نشر على الإنتاج مع إمكانية التراجع الفوري. وتُنشَأ حسابات الاستضافة والنطاق والخدمات الخارجية </w:t>
      </w:r>
      <w:r>
        <w:rPr>
          <w:rFonts w:ascii="Tajawal" w:hAnsi="Tajawal" w:cs="Tajawal"/>
          <w:b/>
          <w:color w:val="333A36"/>
          <w:sz w:val="18"/>
          <w:szCs w:val="18"/>
          <w:rtl w:val="1"/>
        </w:rPr>
        <w:t xml:space="preserve">باسم الجهة المالكة </w:t>
      </w:r>
      <w:r>
        <w:rPr>
          <w:rFonts w:ascii="Tajawal" w:hAnsi="Tajawal" w:cs="Tajawal"/>
          <w:b w:val="0"/>
          <w:color w:val="333A36"/>
          <w:sz w:val="18"/>
          <w:szCs w:val="18"/>
          <w:rtl w:val="1"/>
        </w:rPr>
        <w:t xml:space="preserve">. </w:t>
      </w:r>
    </w:p>
    <w:p>
      <w:pPr>
        <w:keepNext/>
        <w:pBdr>
          <w:bottom w:val="single" w:sz="12" w:space="3" w:color="14512F"/>
        </w:pBdr>
        <w:bidi w:val="1"/>
        <w:spacing w:before="320" w:after="40"/>
        <w:jc w:val="right"/>
      </w:pPr>
      <w:r>
        <w:rPr>
          <w:rFonts w:ascii="Tajawal" w:hAnsi="Tajawal" w:cs="Tajawal"/>
          <w:b/>
          <w:color w:val="141414"/>
          <w:sz w:val="36"/>
          <w:szCs w:val="36"/>
          <w:rtl w:val="1"/>
        </w:rPr>
        <w:t>٢٤ جاهزية التوسّع المستقبلي</w:t>
      </w:r>
    </w:p>
    <w:tbl>
      <w:tblPr>
        <w:tblStyle w:val="TableGrid"/>
        <w:bidiVisual w:val="1"/>
        <w:tblW w:type="auto" w:w="0"/>
        <w:jc w:val="right"/>
        <w:tblLook w:firstColumn="1" w:firstRow="1" w:lastColumn="0" w:lastRow="0" w:noHBand="0" w:noVBand="1" w:val="04A0"/>
      </w:tblPr>
      <w:tblGrid>
        <w:gridCol w:w="5040"/>
        <w:gridCol w:w="5040"/>
      </w:tblGrid>
      <w:tr>
        <w:tc>
          <w:tcPr>
            <w:tcW w:type="dxa" w:w="5040"/>
            <w:shd w:val="clear" w:color="auto" w:fill="14512F"/>
          </w:tcPr>
          <w:p>
            <w:pPr>
              <w:bidi w:val="1"/>
              <w:spacing w:before="20" w:after="20"/>
              <w:jc w:val="right"/>
            </w:pPr>
            <w:r/>
            <w:r>
              <w:rPr>
                <w:rFonts w:ascii="Tajawal" w:hAnsi="Tajawal" w:cs="Tajawal"/>
                <w:b/>
                <w:color w:val="FFFFFF"/>
                <w:sz w:val="17"/>
                <w:szCs w:val="17"/>
                <w:rtl w:val="1"/>
              </w:rPr>
              <w:t>التوسّع المطلوب</w:t>
            </w:r>
          </w:p>
        </w:tc>
        <w:tc>
          <w:tcPr>
            <w:tcW w:type="dxa" w:w="5040"/>
            <w:shd w:val="clear" w:color="auto" w:fill="14512F"/>
          </w:tcPr>
          <w:p>
            <w:pPr>
              <w:bidi w:val="1"/>
              <w:spacing w:before="20" w:after="20"/>
              <w:jc w:val="right"/>
            </w:pPr>
            <w:r/>
            <w:r>
              <w:rPr>
                <w:rFonts w:ascii="Tajawal" w:hAnsi="Tajawal" w:cs="Tajawal"/>
                <w:b/>
                <w:color w:val="FFFFFF"/>
                <w:sz w:val="17"/>
                <w:szCs w:val="17"/>
                <w:rtl w:val="1"/>
              </w:rPr>
              <w:t>الاستعداد المعماري في المرحلة الأولى</w:t>
            </w:r>
          </w:p>
        </w:tc>
      </w:tr>
      <w:tr>
        <w:tc>
          <w:tcPr>
            <w:tcW w:type="dxa" w:w="5040"/>
          </w:tcPr>
          <w:p>
            <w:pPr>
              <w:bidi w:val="1"/>
              <w:spacing w:before="20" w:after="20"/>
              <w:jc w:val="right"/>
            </w:pPr>
            <w:r/>
            <w:r>
              <w:rPr>
                <w:rFonts w:ascii="Tajawal" w:hAnsi="Tajawal" w:cs="Tajawal"/>
                <w:b w:val="0"/>
                <w:color w:val="333A36"/>
                <w:sz w:val="17"/>
                <w:szCs w:val="17"/>
                <w:rtl w:val="1"/>
              </w:rPr>
              <w:t>محافظات ومناطق جديدة</w:t>
            </w:r>
          </w:p>
        </w:tc>
        <w:tc>
          <w:tcPr>
            <w:tcW w:type="dxa" w:w="5040"/>
          </w:tcPr>
          <w:p>
            <w:pPr>
              <w:bidi w:val="1"/>
              <w:spacing w:before="20" w:after="20"/>
              <w:jc w:val="right"/>
            </w:pPr>
            <w:r/>
            <w:r>
              <w:rPr>
                <w:rFonts w:ascii="Tajawal" w:hAnsi="Tajawal" w:cs="Tajawal"/>
                <w:b w:val="0"/>
                <w:color w:val="333A36"/>
                <w:sz w:val="17"/>
                <w:szCs w:val="17"/>
                <w:rtl w:val="1"/>
              </w:rPr>
              <w:t>هرم المواقع بيانات لا شيفرة — تُضاف من اللوحة فوراً.</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دول جديدة</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العملة ورمز الدولة ومنطقة التوقيت حقول في نموذج البيانات منذ البداية.</w:t>
            </w:r>
          </w:p>
        </w:tc>
      </w:tr>
      <w:tr>
        <w:tc>
          <w:tcPr>
            <w:tcW w:type="dxa" w:w="5040"/>
          </w:tcPr>
          <w:p>
            <w:pPr>
              <w:bidi w:val="1"/>
              <w:spacing w:before="20" w:after="20"/>
              <w:jc w:val="right"/>
            </w:pPr>
            <w:r/>
            <w:r>
              <w:rPr>
                <w:rFonts w:ascii="Tajawal" w:hAnsi="Tajawal" w:cs="Tajawal"/>
                <w:b w:val="0"/>
                <w:color w:val="333A36"/>
                <w:sz w:val="17"/>
                <w:szCs w:val="17"/>
                <w:rtl w:val="1"/>
              </w:rPr>
              <w:t>لغات جديدة</w:t>
            </w:r>
          </w:p>
        </w:tc>
        <w:tc>
          <w:tcPr>
            <w:tcW w:type="dxa" w:w="5040"/>
          </w:tcPr>
          <w:p>
            <w:pPr>
              <w:bidi w:val="1"/>
              <w:spacing w:before="20" w:after="20"/>
              <w:jc w:val="right"/>
            </w:pPr>
            <w:r/>
            <w:r>
              <w:rPr>
                <w:rFonts w:ascii="Tajawal" w:hAnsi="Tajawal" w:cs="Tajawal"/>
                <w:b w:val="0"/>
                <w:color w:val="333A36"/>
                <w:sz w:val="17"/>
                <w:szCs w:val="17"/>
                <w:rtl w:val="1"/>
              </w:rPr>
              <w:t>كل النصوص في ملفّات ترجمة وبنية التدويل مفعّلة — يبقى العمل ترجمةً فقط.</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خدمات جديدة</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مخطّط الحقول الديناميكي، بلا تعديل برمجي — وهو جوهر التصميم.</w:t>
            </w:r>
          </w:p>
        </w:tc>
      </w:tr>
      <w:tr>
        <w:tc>
          <w:tcPr>
            <w:tcW w:type="dxa" w:w="5040"/>
          </w:tcPr>
          <w:p>
            <w:pPr>
              <w:bidi w:val="1"/>
              <w:spacing w:before="20" w:after="20"/>
              <w:jc w:val="right"/>
            </w:pPr>
            <w:r/>
            <w:r>
              <w:rPr>
                <w:rFonts w:ascii="Tajawal" w:hAnsi="Tajawal" w:cs="Tajawal"/>
                <w:b w:val="0"/>
                <w:color w:val="333A36"/>
                <w:sz w:val="17"/>
                <w:szCs w:val="17"/>
                <w:rtl w:val="1"/>
              </w:rPr>
              <w:t>بوّابات دفع جديدة</w:t>
            </w:r>
          </w:p>
        </w:tc>
        <w:tc>
          <w:tcPr>
            <w:tcW w:type="dxa" w:w="5040"/>
          </w:tcPr>
          <w:p>
            <w:pPr>
              <w:bidi w:val="1"/>
              <w:spacing w:before="20" w:after="20"/>
              <w:jc w:val="right"/>
            </w:pPr>
            <w:r/>
            <w:r>
              <w:rPr>
                <w:rFonts w:ascii="Tajawal" w:hAnsi="Tajawal" w:cs="Tajawal"/>
                <w:b w:val="0"/>
                <w:color w:val="333A36"/>
                <w:sz w:val="17"/>
                <w:szCs w:val="17"/>
                <w:rtl w:val="1"/>
              </w:rPr>
              <w:t>واجهة دفع موحّدة — تُضاف بوّابة بكتابة مُهايئ فقط.</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شركات توصيل</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نموذج المهمّة قابل لاستقبال نوع «توصيل» ضمن الكتالوج نفسه.</w:t>
            </w:r>
          </w:p>
        </w:tc>
      </w:tr>
      <w:tr>
        <w:tc>
          <w:tcPr>
            <w:tcW w:type="dxa" w:w="5040"/>
          </w:tcPr>
          <w:p>
            <w:pPr>
              <w:bidi w:val="1"/>
              <w:spacing w:before="20" w:after="20"/>
              <w:jc w:val="right"/>
            </w:pPr>
            <w:r/>
            <w:r>
              <w:rPr>
                <w:rFonts w:ascii="Tajawal" w:hAnsi="Tajawal" w:cs="Tajawal"/>
                <w:b w:val="0"/>
                <w:color w:val="333A36"/>
                <w:sz w:val="17"/>
                <w:szCs w:val="17"/>
                <w:rtl w:val="1"/>
              </w:rPr>
              <w:t>نظام اشتراكات</w:t>
            </w:r>
          </w:p>
        </w:tc>
        <w:tc>
          <w:tcPr>
            <w:tcW w:type="dxa" w:w="5040"/>
          </w:tcPr>
          <w:p>
            <w:pPr>
              <w:bidi w:val="1"/>
              <w:spacing w:before="20" w:after="20"/>
              <w:jc w:val="right"/>
            </w:pPr>
            <w:r/>
            <w:r>
              <w:rPr>
                <w:rFonts w:ascii="Tajawal" w:hAnsi="Tajawal" w:cs="Tajawal"/>
                <w:b w:val="0"/>
                <w:color w:val="333A36"/>
                <w:sz w:val="17"/>
                <w:szCs w:val="17"/>
                <w:rtl w:val="1"/>
              </w:rPr>
              <w:t>جداول الخطط والاشتراكات ضمن المخطّط، وربط العمولة بالخطّة جاهز.</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نظام تأمين على الخدمات</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نقاط ربط في دورة الطلب لإضافة بند تأمين وقيده مالياً.</w:t>
            </w:r>
          </w:p>
        </w:tc>
      </w:tr>
      <w:tr>
        <w:tc>
          <w:tcPr>
            <w:tcW w:type="dxa" w:w="5040"/>
          </w:tcPr>
          <w:p>
            <w:pPr>
              <w:bidi w:val="1"/>
              <w:spacing w:before="20" w:after="20"/>
              <w:jc w:val="right"/>
            </w:pPr>
            <w:r/>
            <w:r>
              <w:rPr>
                <w:rFonts w:ascii="Tajawal" w:hAnsi="Tajawal" w:cs="Tajawal"/>
                <w:b w:val="0"/>
                <w:color w:val="333A36"/>
                <w:sz w:val="17"/>
                <w:szCs w:val="17"/>
                <w:rtl w:val="1"/>
              </w:rPr>
              <w:t>برنامج ولاء</w:t>
            </w:r>
          </w:p>
        </w:tc>
        <w:tc>
          <w:tcPr>
            <w:tcW w:type="dxa" w:w="5040"/>
          </w:tcPr>
          <w:p>
            <w:pPr>
              <w:bidi w:val="1"/>
              <w:spacing w:before="20" w:after="20"/>
              <w:jc w:val="right"/>
            </w:pPr>
            <w:r/>
            <w:r>
              <w:rPr>
                <w:rFonts w:ascii="Tajawal" w:hAnsi="Tajawal" w:cs="Tajawal"/>
                <w:b w:val="0"/>
                <w:color w:val="333A36"/>
                <w:sz w:val="17"/>
                <w:szCs w:val="17"/>
                <w:rtl w:val="1"/>
              </w:rPr>
              <w:t>الدفتر المالي يستوعب نقاطاً ورصيداً ترويجياً كأنواع قيود.</w:t>
            </w:r>
          </w:p>
        </w:tc>
      </w:tr>
      <w:tr>
        <w:tc>
          <w:tcPr>
            <w:tcW w:type="dxa" w:w="5040"/>
            <w:shd w:val="clear" w:color="auto" w:fill="F5F8F6"/>
          </w:tcPr>
          <w:p>
            <w:pPr>
              <w:bidi w:val="1"/>
              <w:spacing w:before="20" w:after="20"/>
              <w:jc w:val="right"/>
            </w:pPr>
            <w:r/>
            <w:r>
              <w:rPr>
                <w:rFonts w:ascii="Tajawal" w:hAnsi="Tajawal" w:cs="Tajawal"/>
                <w:b w:val="0"/>
                <w:color w:val="333A36"/>
                <w:sz w:val="17"/>
                <w:szCs w:val="17"/>
                <w:rtl w:val="1"/>
              </w:rPr>
              <w:t>مركز اتصال</w:t>
            </w:r>
          </w:p>
        </w:tc>
        <w:tc>
          <w:tcPr>
            <w:tcW w:type="dxa" w:w="5040"/>
            <w:shd w:val="clear" w:color="auto" w:fill="F5F8F6"/>
          </w:tcPr>
          <w:p>
            <w:pPr>
              <w:bidi w:val="1"/>
              <w:spacing w:before="20" w:after="20"/>
              <w:jc w:val="right"/>
            </w:pPr>
            <w:r/>
            <w:r>
              <w:rPr>
                <w:rFonts w:ascii="Tajawal" w:hAnsi="Tajawal" w:cs="Tajawal"/>
                <w:b w:val="0"/>
                <w:color w:val="333A36"/>
                <w:sz w:val="17"/>
                <w:szCs w:val="17"/>
                <w:rtl w:val="1"/>
              </w:rPr>
              <w:t>واجهات API تسمح لأنظمة خارجية بالاطّلاع والتصرّف ضمن الصلاحيات.</w:t>
            </w:r>
          </w:p>
        </w:tc>
      </w:tr>
      <w:tr>
        <w:tc>
          <w:tcPr>
            <w:tcW w:type="dxa" w:w="5040"/>
          </w:tcPr>
          <w:p>
            <w:pPr>
              <w:bidi w:val="1"/>
              <w:spacing w:before="20" w:after="20"/>
              <w:jc w:val="right"/>
            </w:pPr>
            <w:r/>
            <w:r>
              <w:rPr>
                <w:rFonts w:ascii="Tajawal" w:hAnsi="Tajawal" w:cs="Tajawal"/>
                <w:b w:val="0"/>
                <w:color w:val="333A36"/>
                <w:sz w:val="17"/>
                <w:szCs w:val="17"/>
                <w:rtl w:val="1"/>
              </w:rPr>
              <w:t>موقع إلكتروني كامل للعملاء</w:t>
            </w:r>
          </w:p>
        </w:tc>
        <w:tc>
          <w:tcPr>
            <w:tcW w:type="dxa" w:w="5040"/>
          </w:tcPr>
          <w:p>
            <w:pPr>
              <w:bidi w:val="1"/>
              <w:spacing w:before="20" w:after="20"/>
              <w:jc w:val="right"/>
            </w:pPr>
            <w:r/>
            <w:r>
              <w:rPr>
                <w:rFonts w:ascii="Tajawal" w:hAnsi="Tajawal" w:cs="Tajawal"/>
                <w:b w:val="0"/>
                <w:color w:val="333A36"/>
                <w:sz w:val="17"/>
                <w:szCs w:val="17"/>
                <w:rtl w:val="1"/>
              </w:rPr>
              <w:t>واجهات API مستقلّة عن العميل — يمكن بناء واجهة ويب فوقها مباشرةً.</w:t>
            </w:r>
          </w:p>
        </w:tc>
      </w:tr>
    </w:tbl>
    <w:p>
      <w:pPr>
        <w:spacing w:after="60"/>
      </w:pPr>
    </w:p>
    <w:p>
      <w:pPr>
        <w:keepNext/>
        <w:pBdr>
          <w:bottom w:val="single" w:sz="12" w:space="3" w:color="14512F"/>
        </w:pBdr>
        <w:bidi w:val="1"/>
        <w:spacing w:before="320" w:after="40"/>
        <w:jc w:val="right"/>
      </w:pPr>
      <w:r>
        <w:rPr>
          <w:rFonts w:ascii="Tajawal" w:hAnsi="Tajawal" w:cs="Tajawal"/>
          <w:b/>
          <w:color w:val="141414"/>
          <w:sz w:val="36"/>
          <w:szCs w:val="36"/>
          <w:rtl w:val="1"/>
        </w:rPr>
        <w:t>٢٥ المخرجات الفنية عند التسليم</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وثيقة تحليل المتطلّبات النهائية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مخطّط سير العمليات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تصميم قاعدة البيانات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تصميم تجربة المستخدم UX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نموذج تفاعلي معتمد لواجهات التطبيق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تطبيق Android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تطبيق iOS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النظام الخلفي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لوحة الإدارة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قاعدة البيانات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واجهات API موثّقة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صفحة الويب التعريفية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ربط الإشعارات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ربط الخرائط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ربط OTP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ربط الدفع المتّفق عليه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اختبارات الوظائف والأمان والأداء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رفع التطبيقات على المتاجر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الشيفرة المصدرية كاملة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بيانات الاستضافة وقاعدة البيانات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دليل استخدام لوحة الإدارة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تدريب موظفي الإدارة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نسخة احتياطية عند التسليم </w:t>
      </w:r>
    </w:p>
    <w:p>
      <w:pPr>
        <w:bidi w:val="1"/>
        <w:spacing w:after="30" w:line="324" w:lineRule="auto"/>
        <w:ind w:left="173" w:right="230"/>
        <w:jc w:val="right"/>
      </w:pPr>
      <w:r>
        <w:rPr>
          <w:rFonts w:ascii="Tajawal" w:hAnsi="Tajawal" w:cs="Tajawal"/>
          <w:b/>
          <w:color w:val="1D6B47"/>
          <w:sz w:val="19"/>
          <w:szCs w:val="19"/>
          <w:rtl w:val="1"/>
        </w:rPr>
        <w:t xml:space="preserve">•  </w:t>
      </w:r>
      <w:r>
        <w:rPr>
          <w:rFonts w:ascii="Tajawal" w:hAnsi="Tajawal" w:cs="Tajawal"/>
          <w:b w:val="0"/>
          <w:color w:val="333A36"/>
          <w:sz w:val="19"/>
          <w:szCs w:val="19"/>
          <w:rtl w:val="1"/>
        </w:rPr>
        <w:t xml:space="preserve">توثيق فنّي للنظام وواجهات API </w:t>
      </w:r>
    </w:p>
    <w:tbl>
      <w:tblPr>
        <w:tblStyle w:val="TableGrid"/>
        <w:bidiVisual w:val="1"/>
        <w:tblW w:type="auto" w:w="0"/>
        <w:jc w:val="right"/>
        <w:tblLook w:firstColumn="1" w:firstRow="1" w:lastColumn="0" w:lastRow="0" w:noHBand="0" w:noVBand="1" w:val="04A0"/>
      </w:tblPr>
      <w:tblGrid>
        <w:gridCol w:w="10080"/>
      </w:tblGrid>
      <w:tr>
        <w:tc>
          <w:tcPr>
            <w:tcW w:type="dxa" w:w="10080"/>
            <w:shd w:val="clear" w:color="auto" w:fill="EEF3F0"/>
          </w:tcPr>
          <w:p>
            <w:pPr>
              <w:bidi w:val="1"/>
              <w:spacing w:after="40" w:line="336" w:lineRule="auto"/>
              <w:jc w:val="right"/>
            </w:pPr>
            <w:r/>
            <w:r>
              <w:rPr>
                <w:rFonts w:ascii="Tajawal" w:hAnsi="Tajawal" w:cs="Tajawal"/>
                <w:b/>
                <w:color w:val="14512F"/>
                <w:sz w:val="19"/>
                <w:szCs w:val="19"/>
                <w:rtl w:val="1"/>
              </w:rPr>
              <w:t>التزام روبوأجينتكس</w:t>
            </w:r>
          </w:p>
          <w:p>
            <w:pPr>
              <w:bidi w:val="1"/>
              <w:spacing w:after="40" w:line="336" w:lineRule="auto"/>
              <w:jc w:val="right"/>
            </w:pPr>
            <w:r>
              <w:rPr>
                <w:rFonts w:ascii="Tajawal" w:hAnsi="Tajawal" w:cs="Tajawal"/>
                <w:b w:val="0"/>
                <w:color w:val="333A36"/>
                <w:sz w:val="18"/>
                <w:szCs w:val="18"/>
                <w:rtl w:val="1"/>
              </w:rPr>
              <w:t xml:space="preserve">ملكية التطبيق والأنظمة تعود بالكامل إلى الجهة المالكة، وتُسلَّم الشيفرة المصدرية كاملةً، وتُنشَأ حسابات المتاجر والاستضافة والنطاق والخدمات الخارجية باسم الجهة المالكة. ولا يحقّ لروبوأجينتكس إعادة بيع النظام نفسه ببيانات المشروع أو هويته، ولا استخدام بيانات العملاء أو مقدّمي الخدمات لأي غرض آخر. التفصيل القانوني في القسم ٩ من المستند المالي. </w:t>
            </w:r>
          </w:p>
        </w:tc>
      </w:tr>
    </w:tbl>
    <w:p>
      <w:pPr>
        <w:spacing w:after="60"/>
      </w:pPr>
    </w:p>
    <w:p>
      <w:pPr>
        <w:bidi w:val="1"/>
        <w:spacing w:before="320"/>
        <w:jc w:val="center"/>
      </w:pPr>
      <w:r>
        <w:rPr>
          <w:rFonts w:ascii="Tajawal" w:hAnsi="Tajawal" w:cs="Tajawal"/>
          <w:b w:val="0"/>
          <w:color w:val="5F6B65"/>
          <w:sz w:val="17"/>
          <w:szCs w:val="17"/>
          <w:rtl w:val="1"/>
        </w:rPr>
        <w:t>RobAgentix نهاية المستند الفني · RAX-TEC-AWNAK-001 · Rev. A يُقرأ مع RAX-FIN-AWNAK-001 — العرض المالي وآلية العمل والتسليم</w:t>
      </w:r>
    </w:p>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jawal" w:hAnsi="Tajaw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