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95A76" w14:textId="77777777" w:rsidR="004279D4" w:rsidRPr="004279D4" w:rsidRDefault="004279D4" w:rsidP="004279D4">
      <w:pPr>
        <w:shd w:val="clear" w:color="auto" w:fill="FFFFFF"/>
        <w:rPr>
          <w:rFonts w:ascii="Roboto" w:hAnsi="Roboto"/>
          <w:color w:val="0A0A0A"/>
          <w:sz w:val="21"/>
          <w:szCs w:val="21"/>
        </w:rPr>
      </w:pPr>
      <w:r w:rsidRPr="004279D4">
        <w:rPr>
          <w:rFonts w:ascii="Roboto" w:hAnsi="Roboto"/>
          <w:color w:val="0A0A0A"/>
          <w:sz w:val="42"/>
          <w:szCs w:val="42"/>
        </w:rPr>
        <w:t>Describe Hopp-Woods hydrophobicity scale</w:t>
      </w:r>
    </w:p>
    <w:p w14:paraId="03003B76" w14:textId="77777777" w:rsidR="004279D4" w:rsidRPr="004279D4" w:rsidRDefault="004279D4" w:rsidP="004279D4">
      <w:pPr>
        <w:shd w:val="clear" w:color="auto" w:fill="FFFFFF"/>
        <w:spacing w:line="360" w:lineRule="atLeast"/>
        <w:rPr>
          <w:rFonts w:ascii="Roboto" w:hAnsi="Roboto"/>
          <w:color w:val="0A0A0A"/>
        </w:rPr>
      </w:pPr>
      <w:r w:rsidRPr="004279D4">
        <w:rPr>
          <w:rFonts w:ascii="Roboto" w:hAnsi="Roboto"/>
          <w:color w:val="0A0A0A"/>
        </w:rPr>
        <w:t>The Hopp-Woods scale is </w:t>
      </w:r>
    </w:p>
    <w:p w14:paraId="3AF5C222" w14:textId="77777777" w:rsidR="004279D4" w:rsidRPr="004279D4" w:rsidRDefault="004279D4" w:rsidP="004279D4">
      <w:pPr>
        <w:shd w:val="clear" w:color="auto" w:fill="FFFFFF"/>
        <w:spacing w:line="360" w:lineRule="atLeast"/>
        <w:rPr>
          <w:rFonts w:ascii="Roboto" w:hAnsi="Roboto"/>
          <w:color w:val="0A0A0A"/>
        </w:rPr>
      </w:pPr>
      <w:r w:rsidRPr="004279D4">
        <w:rPr>
          <w:rFonts w:ascii="Roboto" w:hAnsi="Roboto"/>
          <w:color w:val="0A0A0A"/>
        </w:rPr>
        <w:t>a hydrophilicity scale that ranks amino acids according to their water solubility, with higher, positive values corresponding to increased hydrophilicity. While it is sometimes mistakenly referred to as a "hydrophobicity" scale, it is more accurately described as an index of hydrophilicity because it assigns positive values to water-loving residues and negative values to water-repelling residues. </w:t>
      </w:r>
    </w:p>
    <w:p w14:paraId="012568E6" w14:textId="77777777" w:rsidR="004279D4" w:rsidRPr="004279D4" w:rsidRDefault="004279D4" w:rsidP="004279D4">
      <w:pPr>
        <w:shd w:val="clear" w:color="auto" w:fill="FFFFFF"/>
        <w:spacing w:line="360" w:lineRule="atLeast"/>
        <w:rPr>
          <w:rFonts w:ascii="Roboto" w:hAnsi="Roboto"/>
          <w:color w:val="0A0A0A"/>
        </w:rPr>
      </w:pPr>
      <w:r w:rsidRPr="004279D4">
        <w:rPr>
          <w:rFonts w:ascii="Roboto" w:hAnsi="Roboto"/>
          <w:color w:val="0A0A0A"/>
        </w:rPr>
        <w:t>The scale is primarily used to predict surface-exposed regions of a protein, especially those that might be antigenic sites recognized by the immune system. </w:t>
      </w:r>
    </w:p>
    <w:p w14:paraId="1336022B" w14:textId="77777777" w:rsidR="004279D4" w:rsidRPr="004279D4" w:rsidRDefault="004279D4" w:rsidP="004279D4">
      <w:pPr>
        <w:shd w:val="clear" w:color="auto" w:fill="FFFFFF"/>
        <w:spacing w:line="420" w:lineRule="atLeast"/>
        <w:rPr>
          <w:rFonts w:ascii="Roboto" w:hAnsi="Roboto"/>
          <w:color w:val="0A0A0A"/>
          <w:sz w:val="30"/>
          <w:szCs w:val="30"/>
        </w:rPr>
      </w:pPr>
      <w:r w:rsidRPr="004279D4">
        <w:rPr>
          <w:rFonts w:ascii="Roboto" w:hAnsi="Roboto"/>
          <w:color w:val="0A0A0A"/>
          <w:sz w:val="30"/>
          <w:szCs w:val="30"/>
        </w:rPr>
        <w:t>Key features</w:t>
      </w:r>
    </w:p>
    <w:p w14:paraId="19FDF175" w14:textId="77777777" w:rsidR="004279D4" w:rsidRPr="004279D4" w:rsidRDefault="004279D4" w:rsidP="004279D4">
      <w:pPr>
        <w:numPr>
          <w:ilvl w:val="0"/>
          <w:numId w:val="15"/>
        </w:numPr>
        <w:shd w:val="clear" w:color="auto" w:fill="FFFFFF"/>
        <w:spacing w:after="240" w:line="360" w:lineRule="atLeast"/>
        <w:rPr>
          <w:rFonts w:ascii="Roboto" w:hAnsi="Roboto"/>
          <w:color w:val="0A0A0A"/>
        </w:rPr>
      </w:pPr>
      <w:r w:rsidRPr="004279D4">
        <w:rPr>
          <w:rFonts w:ascii="Roboto" w:hAnsi="Roboto"/>
          <w:color w:val="0A0A0A"/>
        </w:rPr>
        <w:t>Hydrophilicity index: The scale is essentially a hydrophilic index, with positive values indicating greater hydrophilicity. In contrast, many other scales, like Kyte-Doolittle, use positive values for hydrophobicity.</w:t>
      </w:r>
    </w:p>
    <w:p w14:paraId="3E24DF92" w14:textId="77777777" w:rsidR="004279D4" w:rsidRPr="004279D4" w:rsidRDefault="004279D4" w:rsidP="004279D4">
      <w:pPr>
        <w:numPr>
          <w:ilvl w:val="0"/>
          <w:numId w:val="15"/>
        </w:numPr>
        <w:shd w:val="clear" w:color="auto" w:fill="FFFFFF"/>
        <w:spacing w:after="240" w:line="360" w:lineRule="atLeast"/>
        <w:rPr>
          <w:rFonts w:ascii="Roboto" w:hAnsi="Roboto"/>
          <w:color w:val="0A0A0A"/>
        </w:rPr>
      </w:pPr>
      <w:r w:rsidRPr="004279D4">
        <w:rPr>
          <w:rFonts w:ascii="Roboto" w:hAnsi="Roboto"/>
          <w:color w:val="0A0A0A"/>
        </w:rPr>
        <w:t xml:space="preserve">Identification of antigenic sites: The main purpose of the scale is to locate potential antigenic determinants on proteins. This </w:t>
      </w:r>
      <w:proofErr w:type="gramStart"/>
      <w:r w:rsidRPr="004279D4">
        <w:rPr>
          <w:rFonts w:ascii="Roboto" w:hAnsi="Roboto"/>
          <w:color w:val="0A0A0A"/>
        </w:rPr>
        <w:t>is based on the assumption</w:t>
      </w:r>
      <w:proofErr w:type="gramEnd"/>
      <w:r w:rsidRPr="004279D4">
        <w:rPr>
          <w:rFonts w:ascii="Roboto" w:hAnsi="Roboto"/>
          <w:color w:val="0A0A0A"/>
        </w:rPr>
        <w:t xml:space="preserve"> that antigenic sites are found on surface-exposed, hydrophilic regions.</w:t>
      </w:r>
    </w:p>
    <w:p w14:paraId="27A1BFDE" w14:textId="77777777" w:rsidR="004279D4" w:rsidRPr="004279D4" w:rsidRDefault="004279D4" w:rsidP="004279D4">
      <w:pPr>
        <w:numPr>
          <w:ilvl w:val="0"/>
          <w:numId w:val="15"/>
        </w:numPr>
        <w:shd w:val="clear" w:color="auto" w:fill="FFFFFF"/>
        <w:spacing w:after="240" w:line="360" w:lineRule="atLeast"/>
        <w:rPr>
          <w:rFonts w:ascii="Roboto" w:hAnsi="Roboto"/>
          <w:color w:val="0A0A0A"/>
        </w:rPr>
      </w:pPr>
      <w:r w:rsidRPr="004279D4">
        <w:rPr>
          <w:rFonts w:ascii="Roboto" w:hAnsi="Roboto"/>
          <w:color w:val="0A0A0A"/>
        </w:rPr>
        <w:t>Unique amino acid values: The scale gives the four highly charged residues—arginine (Arg), aspartic acid (Asp), glutamic acid (Glu), and lysine (Lys)—the same maximum hydrophilicity value of +3.0. This uniform scoring of charged residues was shown to improve success rates for identifying protein interaction sites.</w:t>
      </w:r>
    </w:p>
    <w:p w14:paraId="034A5F06" w14:textId="77777777" w:rsidR="004279D4" w:rsidRPr="004279D4" w:rsidRDefault="004279D4" w:rsidP="004279D4">
      <w:pPr>
        <w:numPr>
          <w:ilvl w:val="0"/>
          <w:numId w:val="15"/>
        </w:numPr>
        <w:shd w:val="clear" w:color="auto" w:fill="FFFFFF"/>
        <w:spacing w:after="240" w:line="360" w:lineRule="atLeast"/>
        <w:rPr>
          <w:rFonts w:ascii="Roboto" w:hAnsi="Roboto"/>
          <w:color w:val="0A0A0A"/>
        </w:rPr>
      </w:pPr>
      <w:r w:rsidRPr="004279D4">
        <w:rPr>
          <w:rFonts w:ascii="Roboto" w:hAnsi="Roboto"/>
          <w:color w:val="0A0A0A"/>
        </w:rPr>
        <w:t>Moving average analysis: To predict surface regions, a moving average of the hydrophilicity values is calculated over a specific "window size," typically six amino acids. Regions with local peaks in the plot correspond to hydrophilic, surface-exposed segments. </w:t>
      </w:r>
    </w:p>
    <w:p w14:paraId="572C2592" w14:textId="77777777" w:rsidR="004279D4" w:rsidRPr="004279D4" w:rsidRDefault="004279D4" w:rsidP="004279D4">
      <w:pPr>
        <w:shd w:val="clear" w:color="auto" w:fill="FFFFFF"/>
        <w:spacing w:line="420" w:lineRule="atLeast"/>
        <w:rPr>
          <w:rFonts w:ascii="Roboto" w:hAnsi="Roboto"/>
          <w:color w:val="0A0A0A"/>
          <w:sz w:val="30"/>
          <w:szCs w:val="30"/>
        </w:rPr>
      </w:pPr>
      <w:r w:rsidRPr="004279D4">
        <w:rPr>
          <w:rFonts w:ascii="Roboto" w:hAnsi="Roboto"/>
          <w:color w:val="0A0A0A"/>
          <w:sz w:val="30"/>
          <w:szCs w:val="30"/>
        </w:rPr>
        <w:t>Amino acid values on the Hopp-Woods scale</w:t>
      </w:r>
    </w:p>
    <w:p w14:paraId="53AA3B51" w14:textId="77777777" w:rsidR="004279D4" w:rsidRPr="004279D4" w:rsidRDefault="004279D4" w:rsidP="004279D4">
      <w:pPr>
        <w:shd w:val="clear" w:color="auto" w:fill="FFFFFF"/>
        <w:spacing w:line="360" w:lineRule="atLeast"/>
        <w:rPr>
          <w:rFonts w:ascii="Roboto" w:hAnsi="Roboto"/>
          <w:color w:val="0A0A0A"/>
        </w:rPr>
      </w:pPr>
      <w:r w:rsidRPr="004279D4">
        <w:rPr>
          <w:rFonts w:ascii="Roboto" w:hAnsi="Roboto"/>
          <w:color w:val="0A0A0A"/>
        </w:rPr>
        <w:t>High positive values indicate maximum hydrophilicity, while negative values indicate increasing hydrophobicity. </w:t>
      </w:r>
    </w:p>
    <w:tbl>
      <w:tblPr>
        <w:tblW w:w="9780" w:type="dxa"/>
        <w:tblCellMar>
          <w:top w:w="15" w:type="dxa"/>
          <w:left w:w="15" w:type="dxa"/>
          <w:bottom w:w="15" w:type="dxa"/>
          <w:right w:w="15" w:type="dxa"/>
        </w:tblCellMar>
        <w:tblLook w:val="04A0" w:firstRow="1" w:lastRow="0" w:firstColumn="1" w:lastColumn="0" w:noHBand="0" w:noVBand="1"/>
      </w:tblPr>
      <w:tblGrid>
        <w:gridCol w:w="3762"/>
        <w:gridCol w:w="3471"/>
        <w:gridCol w:w="2547"/>
      </w:tblGrid>
      <w:tr w:rsidR="004279D4" w:rsidRPr="004279D4" w14:paraId="347B24A7" w14:textId="77777777">
        <w:tc>
          <w:tcPr>
            <w:tcW w:w="0" w:type="auto"/>
            <w:tcBorders>
              <w:bottom w:val="single" w:sz="6" w:space="0" w:color="DCDFE5"/>
            </w:tcBorders>
            <w:tcMar>
              <w:top w:w="120" w:type="dxa"/>
              <w:left w:w="0" w:type="dxa"/>
              <w:bottom w:w="120" w:type="dxa"/>
              <w:right w:w="240" w:type="dxa"/>
            </w:tcMar>
            <w:hideMark/>
          </w:tcPr>
          <w:p w14:paraId="44B264C6" w14:textId="77777777" w:rsidR="004279D4" w:rsidRPr="004279D4" w:rsidRDefault="004279D4" w:rsidP="004279D4">
            <w:r w:rsidRPr="004279D4">
              <w:t>Amino Acid (Three-letter) </w:t>
            </w:r>
          </w:p>
        </w:tc>
        <w:tc>
          <w:tcPr>
            <w:tcW w:w="0" w:type="auto"/>
            <w:tcBorders>
              <w:bottom w:val="single" w:sz="6" w:space="0" w:color="DCDFE5"/>
            </w:tcBorders>
            <w:tcMar>
              <w:top w:w="120" w:type="dxa"/>
              <w:left w:w="0" w:type="dxa"/>
              <w:bottom w:w="120" w:type="dxa"/>
              <w:right w:w="240" w:type="dxa"/>
            </w:tcMar>
            <w:hideMark/>
          </w:tcPr>
          <w:p w14:paraId="0AD0CB50" w14:textId="77777777" w:rsidR="004279D4" w:rsidRPr="004279D4" w:rsidRDefault="004279D4" w:rsidP="004279D4">
            <w:r w:rsidRPr="004279D4">
              <w:t>Amino Acid (One-letter)</w:t>
            </w:r>
          </w:p>
        </w:tc>
        <w:tc>
          <w:tcPr>
            <w:tcW w:w="0" w:type="auto"/>
            <w:tcBorders>
              <w:bottom w:val="single" w:sz="6" w:space="0" w:color="DCDFE5"/>
            </w:tcBorders>
            <w:tcMar>
              <w:top w:w="120" w:type="dxa"/>
              <w:left w:w="0" w:type="dxa"/>
              <w:bottom w:w="120" w:type="dxa"/>
              <w:right w:w="0" w:type="dxa"/>
            </w:tcMar>
            <w:hideMark/>
          </w:tcPr>
          <w:p w14:paraId="07146534" w14:textId="77777777" w:rsidR="004279D4" w:rsidRPr="004279D4" w:rsidRDefault="004279D4" w:rsidP="004279D4">
            <w:r w:rsidRPr="004279D4">
              <w:t>Hopp-Woods Value</w:t>
            </w:r>
          </w:p>
        </w:tc>
      </w:tr>
      <w:tr w:rsidR="004279D4" w:rsidRPr="004279D4" w14:paraId="3FDC7EAD" w14:textId="77777777">
        <w:tc>
          <w:tcPr>
            <w:tcW w:w="0" w:type="auto"/>
            <w:tcBorders>
              <w:bottom w:val="single" w:sz="6" w:space="0" w:color="DCDFE5"/>
            </w:tcBorders>
            <w:tcMar>
              <w:top w:w="180" w:type="dxa"/>
              <w:left w:w="0" w:type="dxa"/>
              <w:bottom w:w="180" w:type="dxa"/>
              <w:right w:w="240" w:type="dxa"/>
            </w:tcMar>
            <w:hideMark/>
          </w:tcPr>
          <w:p w14:paraId="7339ED50"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Arginine (Arg)</w:t>
            </w:r>
          </w:p>
        </w:tc>
        <w:tc>
          <w:tcPr>
            <w:tcW w:w="0" w:type="auto"/>
            <w:tcBorders>
              <w:bottom w:val="single" w:sz="6" w:space="0" w:color="DCDFE5"/>
            </w:tcBorders>
            <w:tcMar>
              <w:top w:w="180" w:type="dxa"/>
              <w:left w:w="0" w:type="dxa"/>
              <w:bottom w:w="180" w:type="dxa"/>
              <w:right w:w="240" w:type="dxa"/>
            </w:tcMar>
            <w:hideMark/>
          </w:tcPr>
          <w:p w14:paraId="1051FD51"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R</w:t>
            </w:r>
          </w:p>
        </w:tc>
        <w:tc>
          <w:tcPr>
            <w:tcW w:w="0" w:type="auto"/>
            <w:tcBorders>
              <w:bottom w:val="single" w:sz="6" w:space="0" w:color="DCDFE5"/>
            </w:tcBorders>
            <w:tcMar>
              <w:top w:w="180" w:type="dxa"/>
              <w:left w:w="0" w:type="dxa"/>
              <w:bottom w:w="180" w:type="dxa"/>
              <w:right w:w="0" w:type="dxa"/>
            </w:tcMar>
            <w:hideMark/>
          </w:tcPr>
          <w:p w14:paraId="346FCB71"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3.0</w:t>
            </w:r>
          </w:p>
        </w:tc>
      </w:tr>
      <w:tr w:rsidR="004279D4" w:rsidRPr="004279D4" w14:paraId="1D448174" w14:textId="77777777">
        <w:tc>
          <w:tcPr>
            <w:tcW w:w="0" w:type="auto"/>
            <w:tcBorders>
              <w:bottom w:val="single" w:sz="6" w:space="0" w:color="DCDFE5"/>
            </w:tcBorders>
            <w:tcMar>
              <w:top w:w="180" w:type="dxa"/>
              <w:left w:w="0" w:type="dxa"/>
              <w:bottom w:w="180" w:type="dxa"/>
              <w:right w:w="240" w:type="dxa"/>
            </w:tcMar>
            <w:hideMark/>
          </w:tcPr>
          <w:p w14:paraId="08F47769"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lastRenderedPageBreak/>
              <w:t>Aspartic acid (Asp)</w:t>
            </w:r>
          </w:p>
        </w:tc>
        <w:tc>
          <w:tcPr>
            <w:tcW w:w="0" w:type="auto"/>
            <w:tcBorders>
              <w:bottom w:val="single" w:sz="6" w:space="0" w:color="DCDFE5"/>
            </w:tcBorders>
            <w:tcMar>
              <w:top w:w="180" w:type="dxa"/>
              <w:left w:w="0" w:type="dxa"/>
              <w:bottom w:w="180" w:type="dxa"/>
              <w:right w:w="240" w:type="dxa"/>
            </w:tcMar>
            <w:hideMark/>
          </w:tcPr>
          <w:p w14:paraId="2595B257"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D</w:t>
            </w:r>
          </w:p>
        </w:tc>
        <w:tc>
          <w:tcPr>
            <w:tcW w:w="0" w:type="auto"/>
            <w:tcBorders>
              <w:bottom w:val="single" w:sz="6" w:space="0" w:color="DCDFE5"/>
            </w:tcBorders>
            <w:tcMar>
              <w:top w:w="180" w:type="dxa"/>
              <w:left w:w="0" w:type="dxa"/>
              <w:bottom w:w="180" w:type="dxa"/>
              <w:right w:w="0" w:type="dxa"/>
            </w:tcMar>
            <w:hideMark/>
          </w:tcPr>
          <w:p w14:paraId="7AE77A1C"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3.0</w:t>
            </w:r>
          </w:p>
        </w:tc>
      </w:tr>
      <w:tr w:rsidR="004279D4" w:rsidRPr="004279D4" w14:paraId="500631AE" w14:textId="77777777">
        <w:tc>
          <w:tcPr>
            <w:tcW w:w="0" w:type="auto"/>
            <w:tcBorders>
              <w:bottom w:val="single" w:sz="6" w:space="0" w:color="DCDFE5"/>
            </w:tcBorders>
            <w:tcMar>
              <w:top w:w="180" w:type="dxa"/>
              <w:left w:w="0" w:type="dxa"/>
              <w:bottom w:w="180" w:type="dxa"/>
              <w:right w:w="240" w:type="dxa"/>
            </w:tcMar>
            <w:hideMark/>
          </w:tcPr>
          <w:p w14:paraId="68270D97"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Glutamic acid (Glu)</w:t>
            </w:r>
          </w:p>
        </w:tc>
        <w:tc>
          <w:tcPr>
            <w:tcW w:w="0" w:type="auto"/>
            <w:tcBorders>
              <w:bottom w:val="single" w:sz="6" w:space="0" w:color="DCDFE5"/>
            </w:tcBorders>
            <w:tcMar>
              <w:top w:w="180" w:type="dxa"/>
              <w:left w:w="0" w:type="dxa"/>
              <w:bottom w:w="180" w:type="dxa"/>
              <w:right w:w="240" w:type="dxa"/>
            </w:tcMar>
            <w:hideMark/>
          </w:tcPr>
          <w:p w14:paraId="3D413A83"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E</w:t>
            </w:r>
          </w:p>
        </w:tc>
        <w:tc>
          <w:tcPr>
            <w:tcW w:w="0" w:type="auto"/>
            <w:tcBorders>
              <w:bottom w:val="single" w:sz="6" w:space="0" w:color="DCDFE5"/>
            </w:tcBorders>
            <w:tcMar>
              <w:top w:w="180" w:type="dxa"/>
              <w:left w:w="0" w:type="dxa"/>
              <w:bottom w:w="180" w:type="dxa"/>
              <w:right w:w="0" w:type="dxa"/>
            </w:tcMar>
            <w:hideMark/>
          </w:tcPr>
          <w:p w14:paraId="0A6E9992"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3.0</w:t>
            </w:r>
          </w:p>
        </w:tc>
      </w:tr>
      <w:tr w:rsidR="004279D4" w:rsidRPr="004279D4" w14:paraId="150C02B0" w14:textId="77777777">
        <w:tc>
          <w:tcPr>
            <w:tcW w:w="0" w:type="auto"/>
            <w:tcBorders>
              <w:bottom w:val="single" w:sz="6" w:space="0" w:color="DCDFE5"/>
            </w:tcBorders>
            <w:tcMar>
              <w:top w:w="180" w:type="dxa"/>
              <w:left w:w="0" w:type="dxa"/>
              <w:bottom w:w="180" w:type="dxa"/>
              <w:right w:w="240" w:type="dxa"/>
            </w:tcMar>
            <w:hideMark/>
          </w:tcPr>
          <w:p w14:paraId="18ACD088"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Lysine (Lys)</w:t>
            </w:r>
          </w:p>
        </w:tc>
        <w:tc>
          <w:tcPr>
            <w:tcW w:w="0" w:type="auto"/>
            <w:tcBorders>
              <w:bottom w:val="single" w:sz="6" w:space="0" w:color="DCDFE5"/>
            </w:tcBorders>
            <w:tcMar>
              <w:top w:w="180" w:type="dxa"/>
              <w:left w:w="0" w:type="dxa"/>
              <w:bottom w:w="180" w:type="dxa"/>
              <w:right w:w="240" w:type="dxa"/>
            </w:tcMar>
            <w:hideMark/>
          </w:tcPr>
          <w:p w14:paraId="38C8AF99"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K</w:t>
            </w:r>
          </w:p>
        </w:tc>
        <w:tc>
          <w:tcPr>
            <w:tcW w:w="0" w:type="auto"/>
            <w:tcBorders>
              <w:bottom w:val="single" w:sz="6" w:space="0" w:color="DCDFE5"/>
            </w:tcBorders>
            <w:tcMar>
              <w:top w:w="180" w:type="dxa"/>
              <w:left w:w="0" w:type="dxa"/>
              <w:bottom w:w="180" w:type="dxa"/>
              <w:right w:w="0" w:type="dxa"/>
            </w:tcMar>
            <w:hideMark/>
          </w:tcPr>
          <w:p w14:paraId="06055149"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3.0</w:t>
            </w:r>
          </w:p>
        </w:tc>
      </w:tr>
      <w:tr w:rsidR="004279D4" w:rsidRPr="004279D4" w14:paraId="3F641867" w14:textId="77777777">
        <w:tc>
          <w:tcPr>
            <w:tcW w:w="0" w:type="auto"/>
            <w:tcBorders>
              <w:bottom w:val="single" w:sz="6" w:space="0" w:color="DCDFE5"/>
            </w:tcBorders>
            <w:tcMar>
              <w:top w:w="180" w:type="dxa"/>
              <w:left w:w="0" w:type="dxa"/>
              <w:bottom w:w="180" w:type="dxa"/>
              <w:right w:w="240" w:type="dxa"/>
            </w:tcMar>
            <w:hideMark/>
          </w:tcPr>
          <w:p w14:paraId="08CFD103"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Serine (Ser)</w:t>
            </w:r>
          </w:p>
        </w:tc>
        <w:tc>
          <w:tcPr>
            <w:tcW w:w="0" w:type="auto"/>
            <w:tcBorders>
              <w:bottom w:val="single" w:sz="6" w:space="0" w:color="DCDFE5"/>
            </w:tcBorders>
            <w:tcMar>
              <w:top w:w="180" w:type="dxa"/>
              <w:left w:w="0" w:type="dxa"/>
              <w:bottom w:w="180" w:type="dxa"/>
              <w:right w:w="240" w:type="dxa"/>
            </w:tcMar>
            <w:hideMark/>
          </w:tcPr>
          <w:p w14:paraId="279226F9"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S</w:t>
            </w:r>
          </w:p>
        </w:tc>
        <w:tc>
          <w:tcPr>
            <w:tcW w:w="0" w:type="auto"/>
            <w:tcBorders>
              <w:bottom w:val="single" w:sz="6" w:space="0" w:color="DCDFE5"/>
            </w:tcBorders>
            <w:tcMar>
              <w:top w:w="180" w:type="dxa"/>
              <w:left w:w="0" w:type="dxa"/>
              <w:bottom w:w="180" w:type="dxa"/>
              <w:right w:w="0" w:type="dxa"/>
            </w:tcMar>
            <w:hideMark/>
          </w:tcPr>
          <w:p w14:paraId="2CEDF1DB"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0.3</w:t>
            </w:r>
          </w:p>
        </w:tc>
      </w:tr>
      <w:tr w:rsidR="004279D4" w:rsidRPr="004279D4" w14:paraId="75502968" w14:textId="77777777">
        <w:tc>
          <w:tcPr>
            <w:tcW w:w="0" w:type="auto"/>
            <w:tcBorders>
              <w:bottom w:val="single" w:sz="6" w:space="0" w:color="DCDFE5"/>
            </w:tcBorders>
            <w:tcMar>
              <w:top w:w="180" w:type="dxa"/>
              <w:left w:w="0" w:type="dxa"/>
              <w:bottom w:w="180" w:type="dxa"/>
              <w:right w:w="240" w:type="dxa"/>
            </w:tcMar>
            <w:hideMark/>
          </w:tcPr>
          <w:p w14:paraId="7E0909F2"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Asparagine (</w:t>
            </w:r>
            <w:proofErr w:type="spellStart"/>
            <w:r w:rsidRPr="004279D4">
              <w:rPr>
                <w:rFonts w:ascii="Roboto" w:hAnsi="Roboto"/>
                <w:color w:val="56595E"/>
                <w:sz w:val="18"/>
                <w:szCs w:val="18"/>
              </w:rPr>
              <w:t>Asn</w:t>
            </w:r>
            <w:proofErr w:type="spellEnd"/>
            <w:r w:rsidRPr="004279D4">
              <w:rPr>
                <w:rFonts w:ascii="Roboto" w:hAnsi="Roboto"/>
                <w:color w:val="56595E"/>
                <w:sz w:val="18"/>
                <w:szCs w:val="18"/>
              </w:rPr>
              <w:t>)</w:t>
            </w:r>
          </w:p>
        </w:tc>
        <w:tc>
          <w:tcPr>
            <w:tcW w:w="0" w:type="auto"/>
            <w:tcBorders>
              <w:bottom w:val="single" w:sz="6" w:space="0" w:color="DCDFE5"/>
            </w:tcBorders>
            <w:tcMar>
              <w:top w:w="180" w:type="dxa"/>
              <w:left w:w="0" w:type="dxa"/>
              <w:bottom w:w="180" w:type="dxa"/>
              <w:right w:w="240" w:type="dxa"/>
            </w:tcMar>
            <w:hideMark/>
          </w:tcPr>
          <w:p w14:paraId="3BCF83A6"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N</w:t>
            </w:r>
          </w:p>
        </w:tc>
        <w:tc>
          <w:tcPr>
            <w:tcW w:w="0" w:type="auto"/>
            <w:tcBorders>
              <w:bottom w:val="single" w:sz="6" w:space="0" w:color="DCDFE5"/>
            </w:tcBorders>
            <w:tcMar>
              <w:top w:w="180" w:type="dxa"/>
              <w:left w:w="0" w:type="dxa"/>
              <w:bottom w:w="180" w:type="dxa"/>
              <w:right w:w="0" w:type="dxa"/>
            </w:tcMar>
            <w:hideMark/>
          </w:tcPr>
          <w:p w14:paraId="22FA3F03"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0.2</w:t>
            </w:r>
          </w:p>
        </w:tc>
      </w:tr>
      <w:tr w:rsidR="004279D4" w:rsidRPr="004279D4" w14:paraId="1C716ACB" w14:textId="77777777">
        <w:tc>
          <w:tcPr>
            <w:tcW w:w="0" w:type="auto"/>
            <w:tcBorders>
              <w:bottom w:val="single" w:sz="6" w:space="0" w:color="DCDFE5"/>
            </w:tcBorders>
            <w:tcMar>
              <w:top w:w="180" w:type="dxa"/>
              <w:left w:w="0" w:type="dxa"/>
              <w:bottom w:w="180" w:type="dxa"/>
              <w:right w:w="240" w:type="dxa"/>
            </w:tcMar>
            <w:hideMark/>
          </w:tcPr>
          <w:p w14:paraId="1F517A63"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Glutamine (Gln)</w:t>
            </w:r>
          </w:p>
        </w:tc>
        <w:tc>
          <w:tcPr>
            <w:tcW w:w="0" w:type="auto"/>
            <w:tcBorders>
              <w:bottom w:val="single" w:sz="6" w:space="0" w:color="DCDFE5"/>
            </w:tcBorders>
            <w:tcMar>
              <w:top w:w="180" w:type="dxa"/>
              <w:left w:w="0" w:type="dxa"/>
              <w:bottom w:w="180" w:type="dxa"/>
              <w:right w:w="240" w:type="dxa"/>
            </w:tcMar>
            <w:hideMark/>
          </w:tcPr>
          <w:p w14:paraId="13D0E855"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Q</w:t>
            </w:r>
          </w:p>
        </w:tc>
        <w:tc>
          <w:tcPr>
            <w:tcW w:w="0" w:type="auto"/>
            <w:tcBorders>
              <w:bottom w:val="single" w:sz="6" w:space="0" w:color="DCDFE5"/>
            </w:tcBorders>
            <w:tcMar>
              <w:top w:w="180" w:type="dxa"/>
              <w:left w:w="0" w:type="dxa"/>
              <w:bottom w:w="180" w:type="dxa"/>
              <w:right w:w="0" w:type="dxa"/>
            </w:tcMar>
            <w:hideMark/>
          </w:tcPr>
          <w:p w14:paraId="506DB97A"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0.2</w:t>
            </w:r>
          </w:p>
        </w:tc>
      </w:tr>
      <w:tr w:rsidR="004279D4" w:rsidRPr="004279D4" w14:paraId="0D2A60DA" w14:textId="77777777">
        <w:tc>
          <w:tcPr>
            <w:tcW w:w="0" w:type="auto"/>
            <w:tcBorders>
              <w:bottom w:val="single" w:sz="6" w:space="0" w:color="DCDFE5"/>
            </w:tcBorders>
            <w:tcMar>
              <w:top w:w="180" w:type="dxa"/>
              <w:left w:w="0" w:type="dxa"/>
              <w:bottom w:w="180" w:type="dxa"/>
              <w:right w:w="240" w:type="dxa"/>
            </w:tcMar>
            <w:hideMark/>
          </w:tcPr>
          <w:p w14:paraId="461AAFAF"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Glycine (Gly)</w:t>
            </w:r>
          </w:p>
        </w:tc>
        <w:tc>
          <w:tcPr>
            <w:tcW w:w="0" w:type="auto"/>
            <w:tcBorders>
              <w:bottom w:val="single" w:sz="6" w:space="0" w:color="DCDFE5"/>
            </w:tcBorders>
            <w:tcMar>
              <w:top w:w="180" w:type="dxa"/>
              <w:left w:w="0" w:type="dxa"/>
              <w:bottom w:w="180" w:type="dxa"/>
              <w:right w:w="240" w:type="dxa"/>
            </w:tcMar>
            <w:hideMark/>
          </w:tcPr>
          <w:p w14:paraId="08D2A06C"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G</w:t>
            </w:r>
          </w:p>
        </w:tc>
        <w:tc>
          <w:tcPr>
            <w:tcW w:w="0" w:type="auto"/>
            <w:tcBorders>
              <w:bottom w:val="single" w:sz="6" w:space="0" w:color="DCDFE5"/>
            </w:tcBorders>
            <w:tcMar>
              <w:top w:w="180" w:type="dxa"/>
              <w:left w:w="0" w:type="dxa"/>
              <w:bottom w:w="180" w:type="dxa"/>
              <w:right w:w="0" w:type="dxa"/>
            </w:tcMar>
            <w:hideMark/>
          </w:tcPr>
          <w:p w14:paraId="13610C87"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0.0</w:t>
            </w:r>
          </w:p>
        </w:tc>
      </w:tr>
      <w:tr w:rsidR="004279D4" w:rsidRPr="004279D4" w14:paraId="26315C3E" w14:textId="77777777">
        <w:tc>
          <w:tcPr>
            <w:tcW w:w="0" w:type="auto"/>
            <w:tcBorders>
              <w:bottom w:val="single" w:sz="6" w:space="0" w:color="DCDFE5"/>
            </w:tcBorders>
            <w:tcMar>
              <w:top w:w="180" w:type="dxa"/>
              <w:left w:w="0" w:type="dxa"/>
              <w:bottom w:w="180" w:type="dxa"/>
              <w:right w:w="240" w:type="dxa"/>
            </w:tcMar>
            <w:hideMark/>
          </w:tcPr>
          <w:p w14:paraId="2DD23B73"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Proline (Pro)</w:t>
            </w:r>
          </w:p>
        </w:tc>
        <w:tc>
          <w:tcPr>
            <w:tcW w:w="0" w:type="auto"/>
            <w:tcBorders>
              <w:bottom w:val="single" w:sz="6" w:space="0" w:color="DCDFE5"/>
            </w:tcBorders>
            <w:tcMar>
              <w:top w:w="180" w:type="dxa"/>
              <w:left w:w="0" w:type="dxa"/>
              <w:bottom w:w="180" w:type="dxa"/>
              <w:right w:w="240" w:type="dxa"/>
            </w:tcMar>
            <w:hideMark/>
          </w:tcPr>
          <w:p w14:paraId="753F83B7"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P</w:t>
            </w:r>
          </w:p>
        </w:tc>
        <w:tc>
          <w:tcPr>
            <w:tcW w:w="0" w:type="auto"/>
            <w:tcBorders>
              <w:bottom w:val="single" w:sz="6" w:space="0" w:color="DCDFE5"/>
            </w:tcBorders>
            <w:tcMar>
              <w:top w:w="180" w:type="dxa"/>
              <w:left w:w="0" w:type="dxa"/>
              <w:bottom w:w="180" w:type="dxa"/>
              <w:right w:w="0" w:type="dxa"/>
            </w:tcMar>
            <w:hideMark/>
          </w:tcPr>
          <w:p w14:paraId="20ACF4A0"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0.0</w:t>
            </w:r>
          </w:p>
        </w:tc>
      </w:tr>
      <w:tr w:rsidR="004279D4" w:rsidRPr="004279D4" w14:paraId="43E459D2" w14:textId="77777777">
        <w:tc>
          <w:tcPr>
            <w:tcW w:w="0" w:type="auto"/>
            <w:tcBorders>
              <w:bottom w:val="single" w:sz="6" w:space="0" w:color="DCDFE5"/>
            </w:tcBorders>
            <w:tcMar>
              <w:top w:w="180" w:type="dxa"/>
              <w:left w:w="0" w:type="dxa"/>
              <w:bottom w:w="180" w:type="dxa"/>
              <w:right w:w="240" w:type="dxa"/>
            </w:tcMar>
            <w:hideMark/>
          </w:tcPr>
          <w:p w14:paraId="4EAC8041"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Histidine (His)</w:t>
            </w:r>
          </w:p>
        </w:tc>
        <w:tc>
          <w:tcPr>
            <w:tcW w:w="0" w:type="auto"/>
            <w:tcBorders>
              <w:bottom w:val="single" w:sz="6" w:space="0" w:color="DCDFE5"/>
            </w:tcBorders>
            <w:tcMar>
              <w:top w:w="180" w:type="dxa"/>
              <w:left w:w="0" w:type="dxa"/>
              <w:bottom w:w="180" w:type="dxa"/>
              <w:right w:w="240" w:type="dxa"/>
            </w:tcMar>
            <w:hideMark/>
          </w:tcPr>
          <w:p w14:paraId="4AC10D43"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H</w:t>
            </w:r>
          </w:p>
        </w:tc>
        <w:tc>
          <w:tcPr>
            <w:tcW w:w="0" w:type="auto"/>
            <w:tcBorders>
              <w:bottom w:val="single" w:sz="6" w:space="0" w:color="DCDFE5"/>
            </w:tcBorders>
            <w:tcMar>
              <w:top w:w="180" w:type="dxa"/>
              <w:left w:w="0" w:type="dxa"/>
              <w:bottom w:w="180" w:type="dxa"/>
              <w:right w:w="0" w:type="dxa"/>
            </w:tcMar>
            <w:hideMark/>
          </w:tcPr>
          <w:p w14:paraId="6B26A066"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-0.5</w:t>
            </w:r>
          </w:p>
        </w:tc>
      </w:tr>
      <w:tr w:rsidR="004279D4" w:rsidRPr="004279D4" w14:paraId="1B46CDC6" w14:textId="77777777">
        <w:tc>
          <w:tcPr>
            <w:tcW w:w="0" w:type="auto"/>
            <w:tcBorders>
              <w:bottom w:val="single" w:sz="6" w:space="0" w:color="DCDFE5"/>
            </w:tcBorders>
            <w:tcMar>
              <w:top w:w="180" w:type="dxa"/>
              <w:left w:w="0" w:type="dxa"/>
              <w:bottom w:w="180" w:type="dxa"/>
              <w:right w:w="240" w:type="dxa"/>
            </w:tcMar>
            <w:hideMark/>
          </w:tcPr>
          <w:p w14:paraId="2A56B55E"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Alanine (Ala)</w:t>
            </w:r>
          </w:p>
        </w:tc>
        <w:tc>
          <w:tcPr>
            <w:tcW w:w="0" w:type="auto"/>
            <w:tcBorders>
              <w:bottom w:val="single" w:sz="6" w:space="0" w:color="DCDFE5"/>
            </w:tcBorders>
            <w:tcMar>
              <w:top w:w="180" w:type="dxa"/>
              <w:left w:w="0" w:type="dxa"/>
              <w:bottom w:w="180" w:type="dxa"/>
              <w:right w:w="240" w:type="dxa"/>
            </w:tcMar>
            <w:hideMark/>
          </w:tcPr>
          <w:p w14:paraId="5B789616"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A</w:t>
            </w:r>
          </w:p>
        </w:tc>
        <w:tc>
          <w:tcPr>
            <w:tcW w:w="0" w:type="auto"/>
            <w:tcBorders>
              <w:bottom w:val="single" w:sz="6" w:space="0" w:color="DCDFE5"/>
            </w:tcBorders>
            <w:tcMar>
              <w:top w:w="180" w:type="dxa"/>
              <w:left w:w="0" w:type="dxa"/>
              <w:bottom w:w="180" w:type="dxa"/>
              <w:right w:w="0" w:type="dxa"/>
            </w:tcMar>
            <w:hideMark/>
          </w:tcPr>
          <w:p w14:paraId="3C22BA03"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-0.5</w:t>
            </w:r>
          </w:p>
        </w:tc>
      </w:tr>
      <w:tr w:rsidR="004279D4" w:rsidRPr="004279D4" w14:paraId="1FC16981" w14:textId="77777777">
        <w:tc>
          <w:tcPr>
            <w:tcW w:w="0" w:type="auto"/>
            <w:tcBorders>
              <w:bottom w:val="single" w:sz="6" w:space="0" w:color="DCDFE5"/>
            </w:tcBorders>
            <w:tcMar>
              <w:top w:w="180" w:type="dxa"/>
              <w:left w:w="0" w:type="dxa"/>
              <w:bottom w:w="180" w:type="dxa"/>
              <w:right w:w="240" w:type="dxa"/>
            </w:tcMar>
            <w:hideMark/>
          </w:tcPr>
          <w:p w14:paraId="0650DFC1"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Threonine (Thr)</w:t>
            </w:r>
          </w:p>
        </w:tc>
        <w:tc>
          <w:tcPr>
            <w:tcW w:w="0" w:type="auto"/>
            <w:tcBorders>
              <w:bottom w:val="single" w:sz="6" w:space="0" w:color="DCDFE5"/>
            </w:tcBorders>
            <w:tcMar>
              <w:top w:w="180" w:type="dxa"/>
              <w:left w:w="0" w:type="dxa"/>
              <w:bottom w:w="180" w:type="dxa"/>
              <w:right w:w="240" w:type="dxa"/>
            </w:tcMar>
            <w:hideMark/>
          </w:tcPr>
          <w:p w14:paraId="67A492C7"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T</w:t>
            </w:r>
          </w:p>
        </w:tc>
        <w:tc>
          <w:tcPr>
            <w:tcW w:w="0" w:type="auto"/>
            <w:tcBorders>
              <w:bottom w:val="single" w:sz="6" w:space="0" w:color="DCDFE5"/>
            </w:tcBorders>
            <w:tcMar>
              <w:top w:w="180" w:type="dxa"/>
              <w:left w:w="0" w:type="dxa"/>
              <w:bottom w:w="180" w:type="dxa"/>
              <w:right w:w="0" w:type="dxa"/>
            </w:tcMar>
            <w:hideMark/>
          </w:tcPr>
          <w:p w14:paraId="2F9FC7D1"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-0.4</w:t>
            </w:r>
          </w:p>
        </w:tc>
      </w:tr>
      <w:tr w:rsidR="004279D4" w:rsidRPr="004279D4" w14:paraId="695A3866" w14:textId="77777777">
        <w:tc>
          <w:tcPr>
            <w:tcW w:w="0" w:type="auto"/>
            <w:tcBorders>
              <w:bottom w:val="single" w:sz="6" w:space="0" w:color="DCDFE5"/>
            </w:tcBorders>
            <w:tcMar>
              <w:top w:w="180" w:type="dxa"/>
              <w:left w:w="0" w:type="dxa"/>
              <w:bottom w:w="180" w:type="dxa"/>
              <w:right w:w="240" w:type="dxa"/>
            </w:tcMar>
            <w:hideMark/>
          </w:tcPr>
          <w:p w14:paraId="59F945C4"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Cysteine (</w:t>
            </w:r>
            <w:proofErr w:type="spellStart"/>
            <w:r w:rsidRPr="004279D4">
              <w:rPr>
                <w:rFonts w:ascii="Roboto" w:hAnsi="Roboto"/>
                <w:color w:val="56595E"/>
                <w:sz w:val="18"/>
                <w:szCs w:val="18"/>
              </w:rPr>
              <w:t>Cys</w:t>
            </w:r>
            <w:proofErr w:type="spellEnd"/>
            <w:r w:rsidRPr="004279D4">
              <w:rPr>
                <w:rFonts w:ascii="Roboto" w:hAnsi="Roboto"/>
                <w:color w:val="56595E"/>
                <w:sz w:val="18"/>
                <w:szCs w:val="18"/>
              </w:rPr>
              <w:t>)</w:t>
            </w:r>
          </w:p>
        </w:tc>
        <w:tc>
          <w:tcPr>
            <w:tcW w:w="0" w:type="auto"/>
            <w:tcBorders>
              <w:bottom w:val="single" w:sz="6" w:space="0" w:color="DCDFE5"/>
            </w:tcBorders>
            <w:tcMar>
              <w:top w:w="180" w:type="dxa"/>
              <w:left w:w="0" w:type="dxa"/>
              <w:bottom w:w="180" w:type="dxa"/>
              <w:right w:w="240" w:type="dxa"/>
            </w:tcMar>
            <w:hideMark/>
          </w:tcPr>
          <w:p w14:paraId="4AF64A1E"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C</w:t>
            </w:r>
          </w:p>
        </w:tc>
        <w:tc>
          <w:tcPr>
            <w:tcW w:w="0" w:type="auto"/>
            <w:tcBorders>
              <w:bottom w:val="single" w:sz="6" w:space="0" w:color="DCDFE5"/>
            </w:tcBorders>
            <w:tcMar>
              <w:top w:w="180" w:type="dxa"/>
              <w:left w:w="0" w:type="dxa"/>
              <w:bottom w:w="180" w:type="dxa"/>
              <w:right w:w="0" w:type="dxa"/>
            </w:tcMar>
            <w:hideMark/>
          </w:tcPr>
          <w:p w14:paraId="65863989"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-1.0</w:t>
            </w:r>
          </w:p>
        </w:tc>
      </w:tr>
      <w:tr w:rsidR="004279D4" w:rsidRPr="004279D4" w14:paraId="50D4F379" w14:textId="77777777">
        <w:tc>
          <w:tcPr>
            <w:tcW w:w="0" w:type="auto"/>
            <w:tcBorders>
              <w:bottom w:val="single" w:sz="6" w:space="0" w:color="DCDFE5"/>
            </w:tcBorders>
            <w:tcMar>
              <w:top w:w="180" w:type="dxa"/>
              <w:left w:w="0" w:type="dxa"/>
              <w:bottom w:w="180" w:type="dxa"/>
              <w:right w:w="240" w:type="dxa"/>
            </w:tcMar>
            <w:hideMark/>
          </w:tcPr>
          <w:p w14:paraId="45329605"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Methionine (Met)</w:t>
            </w:r>
          </w:p>
        </w:tc>
        <w:tc>
          <w:tcPr>
            <w:tcW w:w="0" w:type="auto"/>
            <w:tcBorders>
              <w:bottom w:val="single" w:sz="6" w:space="0" w:color="DCDFE5"/>
            </w:tcBorders>
            <w:tcMar>
              <w:top w:w="180" w:type="dxa"/>
              <w:left w:w="0" w:type="dxa"/>
              <w:bottom w:w="180" w:type="dxa"/>
              <w:right w:w="240" w:type="dxa"/>
            </w:tcMar>
            <w:hideMark/>
          </w:tcPr>
          <w:p w14:paraId="40B2060C"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M</w:t>
            </w:r>
          </w:p>
        </w:tc>
        <w:tc>
          <w:tcPr>
            <w:tcW w:w="0" w:type="auto"/>
            <w:tcBorders>
              <w:bottom w:val="single" w:sz="6" w:space="0" w:color="DCDFE5"/>
            </w:tcBorders>
            <w:tcMar>
              <w:top w:w="180" w:type="dxa"/>
              <w:left w:w="0" w:type="dxa"/>
              <w:bottom w:w="180" w:type="dxa"/>
              <w:right w:w="0" w:type="dxa"/>
            </w:tcMar>
            <w:hideMark/>
          </w:tcPr>
          <w:p w14:paraId="089ED819"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-1.3</w:t>
            </w:r>
          </w:p>
        </w:tc>
      </w:tr>
      <w:tr w:rsidR="004279D4" w:rsidRPr="004279D4" w14:paraId="5EAB735A" w14:textId="77777777">
        <w:tc>
          <w:tcPr>
            <w:tcW w:w="0" w:type="auto"/>
            <w:tcBorders>
              <w:bottom w:val="single" w:sz="6" w:space="0" w:color="DCDFE5"/>
            </w:tcBorders>
            <w:tcMar>
              <w:top w:w="180" w:type="dxa"/>
              <w:left w:w="0" w:type="dxa"/>
              <w:bottom w:w="180" w:type="dxa"/>
              <w:right w:w="240" w:type="dxa"/>
            </w:tcMar>
            <w:hideMark/>
          </w:tcPr>
          <w:p w14:paraId="148D523C"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Valine (Val)</w:t>
            </w:r>
          </w:p>
        </w:tc>
        <w:tc>
          <w:tcPr>
            <w:tcW w:w="0" w:type="auto"/>
            <w:tcBorders>
              <w:bottom w:val="single" w:sz="6" w:space="0" w:color="DCDFE5"/>
            </w:tcBorders>
            <w:tcMar>
              <w:top w:w="180" w:type="dxa"/>
              <w:left w:w="0" w:type="dxa"/>
              <w:bottom w:w="180" w:type="dxa"/>
              <w:right w:w="240" w:type="dxa"/>
            </w:tcMar>
            <w:hideMark/>
          </w:tcPr>
          <w:p w14:paraId="0C988325"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V</w:t>
            </w:r>
          </w:p>
        </w:tc>
        <w:tc>
          <w:tcPr>
            <w:tcW w:w="0" w:type="auto"/>
            <w:tcBorders>
              <w:bottom w:val="single" w:sz="6" w:space="0" w:color="DCDFE5"/>
            </w:tcBorders>
            <w:tcMar>
              <w:top w:w="180" w:type="dxa"/>
              <w:left w:w="0" w:type="dxa"/>
              <w:bottom w:w="180" w:type="dxa"/>
              <w:right w:w="0" w:type="dxa"/>
            </w:tcMar>
            <w:hideMark/>
          </w:tcPr>
          <w:p w14:paraId="51EBD086"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-1.5</w:t>
            </w:r>
          </w:p>
        </w:tc>
      </w:tr>
      <w:tr w:rsidR="004279D4" w:rsidRPr="004279D4" w14:paraId="19C0C24D" w14:textId="77777777">
        <w:tc>
          <w:tcPr>
            <w:tcW w:w="0" w:type="auto"/>
            <w:tcBorders>
              <w:bottom w:val="single" w:sz="6" w:space="0" w:color="DCDFE5"/>
            </w:tcBorders>
            <w:tcMar>
              <w:top w:w="180" w:type="dxa"/>
              <w:left w:w="0" w:type="dxa"/>
              <w:bottom w:w="180" w:type="dxa"/>
              <w:right w:w="240" w:type="dxa"/>
            </w:tcMar>
            <w:hideMark/>
          </w:tcPr>
          <w:p w14:paraId="72753941"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Isoleucine (Ile)</w:t>
            </w:r>
          </w:p>
        </w:tc>
        <w:tc>
          <w:tcPr>
            <w:tcW w:w="0" w:type="auto"/>
            <w:tcBorders>
              <w:bottom w:val="single" w:sz="6" w:space="0" w:color="DCDFE5"/>
            </w:tcBorders>
            <w:tcMar>
              <w:top w:w="180" w:type="dxa"/>
              <w:left w:w="0" w:type="dxa"/>
              <w:bottom w:w="180" w:type="dxa"/>
              <w:right w:w="240" w:type="dxa"/>
            </w:tcMar>
            <w:hideMark/>
          </w:tcPr>
          <w:p w14:paraId="16227298"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I</w:t>
            </w:r>
          </w:p>
        </w:tc>
        <w:tc>
          <w:tcPr>
            <w:tcW w:w="0" w:type="auto"/>
            <w:tcBorders>
              <w:bottom w:val="single" w:sz="6" w:space="0" w:color="DCDFE5"/>
            </w:tcBorders>
            <w:tcMar>
              <w:top w:w="180" w:type="dxa"/>
              <w:left w:w="0" w:type="dxa"/>
              <w:bottom w:w="180" w:type="dxa"/>
              <w:right w:w="0" w:type="dxa"/>
            </w:tcMar>
            <w:hideMark/>
          </w:tcPr>
          <w:p w14:paraId="4292EDFC"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-1.8</w:t>
            </w:r>
          </w:p>
        </w:tc>
      </w:tr>
      <w:tr w:rsidR="004279D4" w:rsidRPr="004279D4" w14:paraId="13D0CE32" w14:textId="77777777">
        <w:tc>
          <w:tcPr>
            <w:tcW w:w="0" w:type="auto"/>
            <w:tcBorders>
              <w:bottom w:val="single" w:sz="6" w:space="0" w:color="DCDFE5"/>
            </w:tcBorders>
            <w:tcMar>
              <w:top w:w="180" w:type="dxa"/>
              <w:left w:w="0" w:type="dxa"/>
              <w:bottom w:w="180" w:type="dxa"/>
              <w:right w:w="240" w:type="dxa"/>
            </w:tcMar>
            <w:hideMark/>
          </w:tcPr>
          <w:p w14:paraId="12EAD114"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Leucine (Leu)</w:t>
            </w:r>
          </w:p>
        </w:tc>
        <w:tc>
          <w:tcPr>
            <w:tcW w:w="0" w:type="auto"/>
            <w:tcBorders>
              <w:bottom w:val="single" w:sz="6" w:space="0" w:color="DCDFE5"/>
            </w:tcBorders>
            <w:tcMar>
              <w:top w:w="180" w:type="dxa"/>
              <w:left w:w="0" w:type="dxa"/>
              <w:bottom w:w="180" w:type="dxa"/>
              <w:right w:w="240" w:type="dxa"/>
            </w:tcMar>
            <w:hideMark/>
          </w:tcPr>
          <w:p w14:paraId="55639C38"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L</w:t>
            </w:r>
          </w:p>
        </w:tc>
        <w:tc>
          <w:tcPr>
            <w:tcW w:w="0" w:type="auto"/>
            <w:tcBorders>
              <w:bottom w:val="single" w:sz="6" w:space="0" w:color="DCDFE5"/>
            </w:tcBorders>
            <w:tcMar>
              <w:top w:w="180" w:type="dxa"/>
              <w:left w:w="0" w:type="dxa"/>
              <w:bottom w:w="180" w:type="dxa"/>
              <w:right w:w="0" w:type="dxa"/>
            </w:tcMar>
            <w:hideMark/>
          </w:tcPr>
          <w:p w14:paraId="696CF3C5"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-1.8</w:t>
            </w:r>
          </w:p>
        </w:tc>
      </w:tr>
      <w:tr w:rsidR="004279D4" w:rsidRPr="004279D4" w14:paraId="413EBA8B" w14:textId="77777777">
        <w:tc>
          <w:tcPr>
            <w:tcW w:w="0" w:type="auto"/>
            <w:tcBorders>
              <w:bottom w:val="single" w:sz="6" w:space="0" w:color="DCDFE5"/>
            </w:tcBorders>
            <w:tcMar>
              <w:top w:w="180" w:type="dxa"/>
              <w:left w:w="0" w:type="dxa"/>
              <w:bottom w:w="180" w:type="dxa"/>
              <w:right w:w="240" w:type="dxa"/>
            </w:tcMar>
            <w:hideMark/>
          </w:tcPr>
          <w:p w14:paraId="4C8310C8"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Tyrosine (Tyr)</w:t>
            </w:r>
          </w:p>
        </w:tc>
        <w:tc>
          <w:tcPr>
            <w:tcW w:w="0" w:type="auto"/>
            <w:tcBorders>
              <w:bottom w:val="single" w:sz="6" w:space="0" w:color="DCDFE5"/>
            </w:tcBorders>
            <w:tcMar>
              <w:top w:w="180" w:type="dxa"/>
              <w:left w:w="0" w:type="dxa"/>
              <w:bottom w:w="180" w:type="dxa"/>
              <w:right w:w="240" w:type="dxa"/>
            </w:tcMar>
            <w:hideMark/>
          </w:tcPr>
          <w:p w14:paraId="5B27A079"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Y</w:t>
            </w:r>
          </w:p>
        </w:tc>
        <w:tc>
          <w:tcPr>
            <w:tcW w:w="0" w:type="auto"/>
            <w:tcBorders>
              <w:bottom w:val="single" w:sz="6" w:space="0" w:color="DCDFE5"/>
            </w:tcBorders>
            <w:tcMar>
              <w:top w:w="180" w:type="dxa"/>
              <w:left w:w="0" w:type="dxa"/>
              <w:bottom w:w="180" w:type="dxa"/>
              <w:right w:w="0" w:type="dxa"/>
            </w:tcMar>
            <w:hideMark/>
          </w:tcPr>
          <w:p w14:paraId="1A44174E"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-2.3</w:t>
            </w:r>
          </w:p>
        </w:tc>
      </w:tr>
      <w:tr w:rsidR="004279D4" w:rsidRPr="004279D4" w14:paraId="6B83D27A" w14:textId="77777777">
        <w:tc>
          <w:tcPr>
            <w:tcW w:w="0" w:type="auto"/>
            <w:tcBorders>
              <w:bottom w:val="single" w:sz="6" w:space="0" w:color="DCDFE5"/>
            </w:tcBorders>
            <w:tcMar>
              <w:top w:w="180" w:type="dxa"/>
              <w:left w:w="0" w:type="dxa"/>
              <w:bottom w:w="180" w:type="dxa"/>
              <w:right w:w="240" w:type="dxa"/>
            </w:tcMar>
            <w:hideMark/>
          </w:tcPr>
          <w:p w14:paraId="1E872A9C"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Phenylalanine (Phe)</w:t>
            </w:r>
          </w:p>
        </w:tc>
        <w:tc>
          <w:tcPr>
            <w:tcW w:w="0" w:type="auto"/>
            <w:tcBorders>
              <w:bottom w:val="single" w:sz="6" w:space="0" w:color="DCDFE5"/>
            </w:tcBorders>
            <w:tcMar>
              <w:top w:w="180" w:type="dxa"/>
              <w:left w:w="0" w:type="dxa"/>
              <w:bottom w:w="180" w:type="dxa"/>
              <w:right w:w="240" w:type="dxa"/>
            </w:tcMar>
            <w:hideMark/>
          </w:tcPr>
          <w:p w14:paraId="427A5A6B"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F</w:t>
            </w:r>
          </w:p>
        </w:tc>
        <w:tc>
          <w:tcPr>
            <w:tcW w:w="0" w:type="auto"/>
            <w:tcBorders>
              <w:bottom w:val="single" w:sz="6" w:space="0" w:color="DCDFE5"/>
            </w:tcBorders>
            <w:tcMar>
              <w:top w:w="180" w:type="dxa"/>
              <w:left w:w="0" w:type="dxa"/>
              <w:bottom w:w="180" w:type="dxa"/>
              <w:right w:w="0" w:type="dxa"/>
            </w:tcMar>
            <w:hideMark/>
          </w:tcPr>
          <w:p w14:paraId="6AEB9A1A"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-2.5</w:t>
            </w:r>
          </w:p>
        </w:tc>
      </w:tr>
      <w:tr w:rsidR="004279D4" w:rsidRPr="004279D4" w14:paraId="6F6784A6" w14:textId="77777777">
        <w:tc>
          <w:tcPr>
            <w:tcW w:w="0" w:type="auto"/>
            <w:tcBorders>
              <w:bottom w:val="single" w:sz="6" w:space="0" w:color="DCDFE5"/>
            </w:tcBorders>
            <w:tcMar>
              <w:top w:w="180" w:type="dxa"/>
              <w:left w:w="0" w:type="dxa"/>
              <w:bottom w:w="180" w:type="dxa"/>
              <w:right w:w="240" w:type="dxa"/>
            </w:tcMar>
            <w:hideMark/>
          </w:tcPr>
          <w:p w14:paraId="3B2E75E7"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Tryptophan (Trp)</w:t>
            </w:r>
          </w:p>
        </w:tc>
        <w:tc>
          <w:tcPr>
            <w:tcW w:w="0" w:type="auto"/>
            <w:tcBorders>
              <w:bottom w:val="single" w:sz="6" w:space="0" w:color="DCDFE5"/>
            </w:tcBorders>
            <w:tcMar>
              <w:top w:w="180" w:type="dxa"/>
              <w:left w:w="0" w:type="dxa"/>
              <w:bottom w:w="180" w:type="dxa"/>
              <w:right w:w="240" w:type="dxa"/>
            </w:tcMar>
            <w:hideMark/>
          </w:tcPr>
          <w:p w14:paraId="006DE1D5"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W</w:t>
            </w:r>
          </w:p>
        </w:tc>
        <w:tc>
          <w:tcPr>
            <w:tcW w:w="0" w:type="auto"/>
            <w:tcBorders>
              <w:bottom w:val="single" w:sz="6" w:space="0" w:color="DCDFE5"/>
            </w:tcBorders>
            <w:tcMar>
              <w:top w:w="180" w:type="dxa"/>
              <w:left w:w="0" w:type="dxa"/>
              <w:bottom w:w="180" w:type="dxa"/>
              <w:right w:w="0" w:type="dxa"/>
            </w:tcMar>
            <w:hideMark/>
          </w:tcPr>
          <w:p w14:paraId="127D63BA" w14:textId="77777777" w:rsidR="004279D4" w:rsidRPr="004279D4" w:rsidRDefault="004279D4" w:rsidP="004279D4">
            <w:pPr>
              <w:spacing w:line="270" w:lineRule="atLeast"/>
              <w:rPr>
                <w:rFonts w:ascii="Roboto" w:hAnsi="Roboto"/>
                <w:color w:val="56595E"/>
                <w:sz w:val="18"/>
                <w:szCs w:val="18"/>
              </w:rPr>
            </w:pPr>
            <w:r w:rsidRPr="004279D4">
              <w:rPr>
                <w:rFonts w:ascii="Roboto" w:hAnsi="Roboto"/>
                <w:color w:val="56595E"/>
                <w:sz w:val="18"/>
                <w:szCs w:val="18"/>
              </w:rPr>
              <w:t>-3.4</w:t>
            </w:r>
          </w:p>
        </w:tc>
      </w:tr>
    </w:tbl>
    <w:p w14:paraId="7158D4D7" w14:textId="77777777" w:rsidR="004279D4" w:rsidRPr="004279D4" w:rsidRDefault="004279D4" w:rsidP="004279D4">
      <w:pPr>
        <w:shd w:val="clear" w:color="auto" w:fill="FFFFFF"/>
        <w:spacing w:line="420" w:lineRule="atLeast"/>
        <w:rPr>
          <w:rFonts w:ascii="Roboto" w:hAnsi="Roboto"/>
          <w:color w:val="0A0A0A"/>
          <w:sz w:val="30"/>
          <w:szCs w:val="30"/>
        </w:rPr>
      </w:pPr>
      <w:r w:rsidRPr="004279D4">
        <w:rPr>
          <w:rFonts w:ascii="Roboto" w:hAnsi="Roboto"/>
          <w:color w:val="0A0A0A"/>
          <w:sz w:val="30"/>
          <w:szCs w:val="30"/>
        </w:rPr>
        <w:t>Application</w:t>
      </w:r>
    </w:p>
    <w:p w14:paraId="77EA405A" w14:textId="77777777" w:rsidR="004279D4" w:rsidRPr="004279D4" w:rsidRDefault="004279D4" w:rsidP="004279D4">
      <w:pPr>
        <w:shd w:val="clear" w:color="auto" w:fill="FFFFFF"/>
        <w:spacing w:line="360" w:lineRule="atLeast"/>
        <w:rPr>
          <w:rFonts w:ascii="Roboto" w:hAnsi="Roboto"/>
          <w:color w:val="0A0A0A"/>
        </w:rPr>
      </w:pPr>
      <w:r w:rsidRPr="004279D4">
        <w:rPr>
          <w:rFonts w:ascii="Roboto" w:hAnsi="Roboto"/>
          <w:color w:val="0A0A0A"/>
        </w:rPr>
        <w:lastRenderedPageBreak/>
        <w:t>The scale is used in computational biology to perform hydrophilicity plot analysis of a protein's primary sequence. </w:t>
      </w:r>
    </w:p>
    <w:p w14:paraId="70B3AD76" w14:textId="77777777" w:rsidR="004279D4" w:rsidRPr="004279D4" w:rsidRDefault="004279D4" w:rsidP="004279D4">
      <w:pPr>
        <w:numPr>
          <w:ilvl w:val="0"/>
          <w:numId w:val="16"/>
        </w:numPr>
        <w:shd w:val="clear" w:color="auto" w:fill="FFFFFF"/>
        <w:spacing w:after="240" w:line="360" w:lineRule="atLeast"/>
        <w:rPr>
          <w:rFonts w:ascii="Roboto" w:hAnsi="Roboto"/>
          <w:color w:val="0A0A0A"/>
        </w:rPr>
      </w:pPr>
      <w:r w:rsidRPr="004279D4">
        <w:rPr>
          <w:rFonts w:ascii="Roboto" w:hAnsi="Roboto"/>
          <w:color w:val="0A0A0A"/>
        </w:rPr>
        <w:t>Predicting surface regions: Local peaks in a hydrophilicity plot indicate areas likely to be on the protein's surface, as they consist of hydrophilic residues.</w:t>
      </w:r>
    </w:p>
    <w:p w14:paraId="38126FF2" w14:textId="77777777" w:rsidR="004279D4" w:rsidRPr="004279D4" w:rsidRDefault="004279D4" w:rsidP="004279D4">
      <w:pPr>
        <w:numPr>
          <w:ilvl w:val="0"/>
          <w:numId w:val="16"/>
        </w:numPr>
        <w:shd w:val="clear" w:color="auto" w:fill="FFFFFF"/>
        <w:spacing w:after="240" w:line="360" w:lineRule="atLeast"/>
        <w:rPr>
          <w:rFonts w:ascii="Roboto" w:hAnsi="Roboto"/>
          <w:color w:val="0A0A0A"/>
        </w:rPr>
      </w:pPr>
      <w:r w:rsidRPr="004279D4">
        <w:rPr>
          <w:rFonts w:ascii="Roboto" w:hAnsi="Roboto"/>
          <w:color w:val="0A0A0A"/>
        </w:rPr>
        <w:t>Predicting antigenic determinants: High-scoring regions are often potential antigenic sites, which can be important for designing synthetic immunogens.</w:t>
      </w:r>
    </w:p>
    <w:p w14:paraId="365D55EE" w14:textId="77777777" w:rsidR="004279D4" w:rsidRPr="004279D4" w:rsidRDefault="004279D4" w:rsidP="004279D4">
      <w:pPr>
        <w:numPr>
          <w:ilvl w:val="0"/>
          <w:numId w:val="16"/>
        </w:numPr>
        <w:shd w:val="clear" w:color="auto" w:fill="FFFFFF"/>
        <w:spacing w:after="240" w:line="360" w:lineRule="atLeast"/>
        <w:rPr>
          <w:rFonts w:ascii="Roboto" w:hAnsi="Roboto"/>
          <w:color w:val="0A0A0A"/>
        </w:rPr>
      </w:pPr>
      <w:r w:rsidRPr="004279D4">
        <w:rPr>
          <w:rFonts w:ascii="Roboto" w:hAnsi="Roboto"/>
          <w:color w:val="0A0A0A"/>
        </w:rPr>
        <w:t>Predicting protein structure: Conversely, "hydrophobic valleys" (regions with low Hopp-Woods scores) can correspond to buried internal structures, such as beta-strands and alpha-helices. </w:t>
      </w:r>
    </w:p>
    <w:p w14:paraId="7B3665A8" w14:textId="77777777" w:rsidR="004279D4" w:rsidRDefault="004279D4" w:rsidP="004279D4">
      <w:pPr>
        <w:shd w:val="clear" w:color="auto" w:fill="FFFFFF"/>
        <w:rPr>
          <w:rFonts w:ascii="Roboto" w:hAnsi="Roboto"/>
          <w:color w:val="0A0A0A"/>
          <w:sz w:val="42"/>
          <w:szCs w:val="42"/>
        </w:rPr>
      </w:pPr>
    </w:p>
    <w:p w14:paraId="60959BD3" w14:textId="77777777" w:rsidR="004279D4" w:rsidRDefault="004279D4" w:rsidP="004279D4">
      <w:pPr>
        <w:shd w:val="clear" w:color="auto" w:fill="FFFFFF"/>
        <w:rPr>
          <w:rFonts w:ascii="Roboto" w:hAnsi="Roboto"/>
          <w:color w:val="0A0A0A"/>
          <w:sz w:val="42"/>
          <w:szCs w:val="42"/>
        </w:rPr>
      </w:pPr>
    </w:p>
    <w:p w14:paraId="1C2786D7" w14:textId="70E6C80D" w:rsidR="004279D4" w:rsidRPr="004279D4" w:rsidRDefault="004279D4" w:rsidP="004279D4">
      <w:pPr>
        <w:shd w:val="clear" w:color="auto" w:fill="FFFFFF"/>
        <w:rPr>
          <w:rFonts w:ascii="Roboto" w:hAnsi="Roboto"/>
          <w:color w:val="0A0A0A"/>
          <w:sz w:val="21"/>
          <w:szCs w:val="21"/>
        </w:rPr>
      </w:pPr>
      <w:r w:rsidRPr="004279D4">
        <w:rPr>
          <w:rFonts w:ascii="Roboto" w:hAnsi="Roboto"/>
          <w:color w:val="0A0A0A"/>
          <w:sz w:val="42"/>
          <w:szCs w:val="42"/>
        </w:rPr>
        <w:t>What empirical data on the amino acids was used to make the scale?</w:t>
      </w:r>
    </w:p>
    <w:p w14:paraId="336CB874" w14:textId="77777777" w:rsidR="004279D4" w:rsidRPr="004279D4" w:rsidRDefault="004279D4" w:rsidP="004279D4">
      <w:pPr>
        <w:shd w:val="clear" w:color="auto" w:fill="FFFFFF"/>
        <w:spacing w:line="360" w:lineRule="atLeast"/>
        <w:rPr>
          <w:rFonts w:ascii="Roboto" w:hAnsi="Roboto"/>
          <w:color w:val="0A0A0A"/>
        </w:rPr>
      </w:pPr>
      <w:r w:rsidRPr="004279D4">
        <w:rPr>
          <w:rFonts w:ascii="Roboto" w:hAnsi="Roboto"/>
          <w:color w:val="0A0A0A"/>
        </w:rPr>
        <w:t>The Hopp-Woods scale was not created directly from new empirical data on amino acids, but was rather derived from existing data and then optimized for predicting antigenic sites on proteins</w:t>
      </w:r>
    </w:p>
    <w:p w14:paraId="6CED0584" w14:textId="77777777" w:rsidR="004279D4" w:rsidRPr="004279D4" w:rsidRDefault="004279D4" w:rsidP="004279D4">
      <w:pPr>
        <w:shd w:val="clear" w:color="auto" w:fill="FFFFFF"/>
        <w:spacing w:line="360" w:lineRule="atLeast"/>
        <w:rPr>
          <w:rFonts w:ascii="Roboto" w:hAnsi="Roboto"/>
          <w:color w:val="0A0A0A"/>
        </w:rPr>
      </w:pPr>
      <w:r w:rsidRPr="004279D4">
        <w:rPr>
          <w:rFonts w:ascii="Roboto" w:hAnsi="Roboto"/>
          <w:color w:val="0A0A0A"/>
        </w:rPr>
        <w:t xml:space="preserve">. The scale is an extension of the earlier hydrophobicity values published by Nozaki and </w:t>
      </w:r>
      <w:proofErr w:type="spellStart"/>
      <w:r w:rsidRPr="004279D4">
        <w:rPr>
          <w:rFonts w:ascii="Roboto" w:hAnsi="Roboto"/>
          <w:color w:val="0A0A0A"/>
        </w:rPr>
        <w:t>Tanford</w:t>
      </w:r>
      <w:proofErr w:type="spellEnd"/>
      <w:r w:rsidRPr="004279D4">
        <w:rPr>
          <w:rFonts w:ascii="Roboto" w:hAnsi="Roboto"/>
          <w:color w:val="0A0A0A"/>
        </w:rPr>
        <w:t>. </w:t>
      </w:r>
    </w:p>
    <w:p w14:paraId="5BF98ED0" w14:textId="77777777" w:rsidR="004279D4" w:rsidRPr="004279D4" w:rsidRDefault="004279D4" w:rsidP="004279D4">
      <w:pPr>
        <w:shd w:val="clear" w:color="auto" w:fill="FFFFFF"/>
        <w:spacing w:line="420" w:lineRule="atLeast"/>
        <w:rPr>
          <w:rFonts w:ascii="Roboto" w:hAnsi="Roboto"/>
          <w:color w:val="0A0A0A"/>
          <w:sz w:val="30"/>
          <w:szCs w:val="30"/>
        </w:rPr>
      </w:pPr>
      <w:r w:rsidRPr="004279D4">
        <w:rPr>
          <w:rFonts w:ascii="Roboto" w:hAnsi="Roboto"/>
          <w:color w:val="0A0A0A"/>
          <w:sz w:val="30"/>
          <w:szCs w:val="30"/>
        </w:rPr>
        <w:t>Basis in existing data</w:t>
      </w:r>
    </w:p>
    <w:p w14:paraId="0FE8B721" w14:textId="77777777" w:rsidR="004279D4" w:rsidRPr="004279D4" w:rsidRDefault="004279D4" w:rsidP="004279D4">
      <w:pPr>
        <w:numPr>
          <w:ilvl w:val="0"/>
          <w:numId w:val="13"/>
        </w:numPr>
        <w:shd w:val="clear" w:color="auto" w:fill="FFFFFF"/>
        <w:spacing w:after="240" w:line="360" w:lineRule="atLeast"/>
        <w:rPr>
          <w:rFonts w:ascii="Roboto" w:hAnsi="Roboto"/>
          <w:color w:val="0A0A0A"/>
        </w:rPr>
      </w:pPr>
      <w:r w:rsidRPr="004279D4">
        <w:rPr>
          <w:rFonts w:ascii="Roboto" w:hAnsi="Roboto"/>
          <w:color w:val="0A0A0A"/>
        </w:rPr>
        <w:t xml:space="preserve">Nozaki and </w:t>
      </w:r>
      <w:proofErr w:type="spellStart"/>
      <w:r w:rsidRPr="004279D4">
        <w:rPr>
          <w:rFonts w:ascii="Roboto" w:hAnsi="Roboto"/>
          <w:color w:val="0A0A0A"/>
        </w:rPr>
        <w:t>Tanford's</w:t>
      </w:r>
      <w:proofErr w:type="spellEnd"/>
      <w:r w:rsidRPr="004279D4">
        <w:rPr>
          <w:rFonts w:ascii="Roboto" w:hAnsi="Roboto"/>
          <w:color w:val="0A0A0A"/>
        </w:rPr>
        <w:t xml:space="preserve"> scale: In 1971, Nozaki and </w:t>
      </w:r>
      <w:proofErr w:type="spellStart"/>
      <w:r w:rsidRPr="004279D4">
        <w:rPr>
          <w:rFonts w:ascii="Roboto" w:hAnsi="Roboto"/>
          <w:color w:val="0A0A0A"/>
        </w:rPr>
        <w:t>Tanford</w:t>
      </w:r>
      <w:proofErr w:type="spellEnd"/>
      <w:r w:rsidRPr="004279D4">
        <w:rPr>
          <w:rFonts w:ascii="Roboto" w:hAnsi="Roboto"/>
          <w:color w:val="0A0A0A"/>
        </w:rPr>
        <w:t xml:space="preserve"> published data on the hydrophobicity of amino acids based on measurements of their free energy of transfer. They observed the energy required to transfer each amino acid's side chain from an organic solvent (ethanol or dioxane) to water. Amino acids that were more soluble in water had a negative free energy of transfer (making them hydrophilic), while those that preferred the organic solvent had a positive free energy (hydrophobic). The Nozaki and </w:t>
      </w:r>
      <w:proofErr w:type="spellStart"/>
      <w:r w:rsidRPr="004279D4">
        <w:rPr>
          <w:rFonts w:ascii="Roboto" w:hAnsi="Roboto"/>
          <w:color w:val="0A0A0A"/>
        </w:rPr>
        <w:t>Tanford</w:t>
      </w:r>
      <w:proofErr w:type="spellEnd"/>
      <w:r w:rsidRPr="004279D4">
        <w:rPr>
          <w:rFonts w:ascii="Roboto" w:hAnsi="Roboto"/>
          <w:color w:val="0A0A0A"/>
        </w:rPr>
        <w:t xml:space="preserve"> scale only provided values for the neutral amino acids that they studied.</w:t>
      </w:r>
    </w:p>
    <w:p w14:paraId="6DC6203D" w14:textId="77777777" w:rsidR="004279D4" w:rsidRPr="004279D4" w:rsidRDefault="004279D4" w:rsidP="004279D4">
      <w:pPr>
        <w:numPr>
          <w:ilvl w:val="0"/>
          <w:numId w:val="13"/>
        </w:numPr>
        <w:shd w:val="clear" w:color="auto" w:fill="FFFFFF"/>
        <w:spacing w:after="240" w:line="360" w:lineRule="atLeast"/>
        <w:rPr>
          <w:rFonts w:ascii="Roboto" w:hAnsi="Roboto"/>
          <w:color w:val="0A0A0A"/>
        </w:rPr>
      </w:pPr>
      <w:r w:rsidRPr="004279D4">
        <w:rPr>
          <w:rFonts w:ascii="Roboto" w:hAnsi="Roboto"/>
          <w:color w:val="0A0A0A"/>
        </w:rPr>
        <w:t xml:space="preserve">Expansion for hydrophilic residues: Hopp and Woods derived their scale by reinterpreting and expanding Nozaki and </w:t>
      </w:r>
      <w:proofErr w:type="spellStart"/>
      <w:r w:rsidRPr="004279D4">
        <w:rPr>
          <w:rFonts w:ascii="Roboto" w:hAnsi="Roboto"/>
          <w:color w:val="0A0A0A"/>
        </w:rPr>
        <w:t>Tanford's</w:t>
      </w:r>
      <w:proofErr w:type="spellEnd"/>
      <w:r w:rsidRPr="004279D4">
        <w:rPr>
          <w:rFonts w:ascii="Roboto" w:hAnsi="Roboto"/>
          <w:color w:val="0A0A0A"/>
        </w:rPr>
        <w:t xml:space="preserve"> findings to include the charged, hydrophilic residues (aspartic acid, glutamic acid, lysine, and arginine) that had not been previously investigated in the same way. </w:t>
      </w:r>
    </w:p>
    <w:p w14:paraId="64CFA74A" w14:textId="77777777" w:rsidR="004279D4" w:rsidRPr="004279D4" w:rsidRDefault="004279D4" w:rsidP="004279D4">
      <w:pPr>
        <w:shd w:val="clear" w:color="auto" w:fill="FFFFFF"/>
        <w:spacing w:line="420" w:lineRule="atLeast"/>
        <w:rPr>
          <w:rFonts w:ascii="Roboto" w:hAnsi="Roboto"/>
          <w:color w:val="0A0A0A"/>
          <w:sz w:val="30"/>
          <w:szCs w:val="30"/>
        </w:rPr>
      </w:pPr>
      <w:r w:rsidRPr="004279D4">
        <w:rPr>
          <w:rFonts w:ascii="Roboto" w:hAnsi="Roboto"/>
          <w:color w:val="0A0A0A"/>
          <w:sz w:val="30"/>
          <w:szCs w:val="30"/>
        </w:rPr>
        <w:lastRenderedPageBreak/>
        <w:t>Key modifications by Hopp and Woods</w:t>
      </w:r>
    </w:p>
    <w:p w14:paraId="0D51A7B7" w14:textId="77777777" w:rsidR="004279D4" w:rsidRPr="004279D4" w:rsidRDefault="004279D4" w:rsidP="004279D4">
      <w:pPr>
        <w:shd w:val="clear" w:color="auto" w:fill="FFFFFF"/>
        <w:spacing w:line="360" w:lineRule="atLeast"/>
        <w:rPr>
          <w:rFonts w:ascii="Roboto" w:hAnsi="Roboto"/>
          <w:color w:val="0A0A0A"/>
        </w:rPr>
      </w:pPr>
      <w:r w:rsidRPr="004279D4">
        <w:rPr>
          <w:rFonts w:ascii="Roboto" w:hAnsi="Roboto"/>
          <w:color w:val="0A0A0A"/>
        </w:rPr>
        <w:t xml:space="preserve">Instead of simply adopting the Nozaki and </w:t>
      </w:r>
      <w:proofErr w:type="spellStart"/>
      <w:r w:rsidRPr="004279D4">
        <w:rPr>
          <w:rFonts w:ascii="Roboto" w:hAnsi="Roboto"/>
          <w:color w:val="0A0A0A"/>
        </w:rPr>
        <w:t>Tanford</w:t>
      </w:r>
      <w:proofErr w:type="spellEnd"/>
      <w:r w:rsidRPr="004279D4">
        <w:rPr>
          <w:rFonts w:ascii="Roboto" w:hAnsi="Roboto"/>
          <w:color w:val="0A0A0A"/>
        </w:rPr>
        <w:t xml:space="preserve"> scale, Hopp and Woods made key modifications to better suit their purpose of predicting antigenic sites. </w:t>
      </w:r>
    </w:p>
    <w:p w14:paraId="109BC531" w14:textId="77777777" w:rsidR="004279D4" w:rsidRPr="004279D4" w:rsidRDefault="004279D4" w:rsidP="004279D4">
      <w:pPr>
        <w:numPr>
          <w:ilvl w:val="0"/>
          <w:numId w:val="14"/>
        </w:numPr>
        <w:shd w:val="clear" w:color="auto" w:fill="FFFFFF"/>
        <w:spacing w:after="240" w:line="360" w:lineRule="atLeast"/>
        <w:rPr>
          <w:rFonts w:ascii="Roboto" w:hAnsi="Roboto"/>
          <w:color w:val="0A0A0A"/>
        </w:rPr>
      </w:pPr>
      <w:r w:rsidRPr="004279D4">
        <w:rPr>
          <w:rFonts w:ascii="Roboto" w:hAnsi="Roboto"/>
          <w:color w:val="0A0A0A"/>
        </w:rPr>
        <w:t>Equal weighting for charged residues: Hopp and Woods gave the four highly charged residues (Arg, Asp, Glu, and Lys) the same maximum hydrophilicity value of +3.0. No other scale before them had set these values equally. This uniform weighting of the most hydrophilic residues was found to improve the success rate for identifying sites of interaction on proteins.</w:t>
      </w:r>
    </w:p>
    <w:p w14:paraId="42E894A2" w14:textId="77777777" w:rsidR="004279D4" w:rsidRPr="004279D4" w:rsidRDefault="004279D4" w:rsidP="004279D4">
      <w:pPr>
        <w:numPr>
          <w:ilvl w:val="0"/>
          <w:numId w:val="14"/>
        </w:numPr>
        <w:shd w:val="clear" w:color="auto" w:fill="FFFFFF"/>
        <w:spacing w:after="240" w:line="360" w:lineRule="atLeast"/>
        <w:rPr>
          <w:rFonts w:ascii="Roboto" w:hAnsi="Roboto"/>
          <w:color w:val="0A0A0A"/>
        </w:rPr>
      </w:pPr>
      <w:r w:rsidRPr="004279D4">
        <w:rPr>
          <w:rFonts w:ascii="Roboto" w:hAnsi="Roboto"/>
          <w:color w:val="0A0A0A"/>
        </w:rPr>
        <w:t>Shifted perspective: The scale was fundamentally reoriented as a </w:t>
      </w:r>
      <w:r w:rsidRPr="004279D4">
        <w:rPr>
          <w:rFonts w:ascii="Roboto" w:hAnsi="Roboto"/>
          <w:i/>
          <w:iCs/>
          <w:color w:val="0A0A0A"/>
        </w:rPr>
        <w:t>hydrophilicity</w:t>
      </w:r>
      <w:r w:rsidRPr="004279D4">
        <w:rPr>
          <w:rFonts w:ascii="Roboto" w:hAnsi="Roboto"/>
          <w:color w:val="0A0A0A"/>
        </w:rPr>
        <w:t> index, with positive values for water-loving residues and negative for water-repelling ones, to better align with the characteristics of surface-exposed antigenic sites. </w:t>
      </w:r>
    </w:p>
    <w:p w14:paraId="6F9AEEA7" w14:textId="77777777" w:rsidR="004279D4" w:rsidRPr="004279D4" w:rsidRDefault="004279D4" w:rsidP="004279D4">
      <w:pPr>
        <w:shd w:val="clear" w:color="auto" w:fill="FFFFFF"/>
        <w:spacing w:line="360" w:lineRule="atLeast"/>
        <w:rPr>
          <w:rFonts w:ascii="Roboto" w:hAnsi="Roboto"/>
          <w:color w:val="0A0A0A"/>
        </w:rPr>
      </w:pPr>
      <w:r w:rsidRPr="004279D4">
        <w:rPr>
          <w:rFonts w:ascii="Roboto" w:hAnsi="Roboto"/>
          <w:color w:val="0A0A0A"/>
        </w:rPr>
        <w:t>In short, Hopp and Woods did not collect new primary experimental data on amino acid solubility. They adapted existing hydrophobicity data and augmented it with a specific scoring system for highly charged residues to create a new scale optimized for locating hydrophilic, surface-exposed regions. </w:t>
      </w:r>
    </w:p>
    <w:p w14:paraId="4332F6A7" w14:textId="77777777" w:rsidR="00897701" w:rsidRDefault="00897701" w:rsidP="004279D4"/>
    <w:p w14:paraId="6060A9F7" w14:textId="77777777" w:rsidR="00F84D9B" w:rsidRDefault="00F84D9B" w:rsidP="004279D4"/>
    <w:p w14:paraId="044A1A9C" w14:textId="29EB8433" w:rsidR="00F84D9B" w:rsidRDefault="00F84D9B">
      <w:r>
        <w:br w:type="page"/>
      </w:r>
    </w:p>
    <w:p w14:paraId="7031D74E" w14:textId="77777777" w:rsidR="00AA1224" w:rsidRPr="00AA1224" w:rsidRDefault="00AA1224" w:rsidP="00AA1224">
      <w:pPr>
        <w:pStyle w:val="Heading2"/>
        <w:rPr>
          <w:rFonts w:ascii="Times" w:hAnsi="Times"/>
          <w:b/>
          <w:bCs/>
          <w:color w:val="000000"/>
        </w:rPr>
      </w:pPr>
      <w:bookmarkStart w:id="0" w:name="SECTION001671000000000000000"/>
      <w:r w:rsidRPr="00AA1224">
        <w:rPr>
          <w:rFonts w:ascii="Times" w:hAnsi="Times"/>
          <w:b/>
          <w:bCs/>
          <w:color w:val="000000"/>
        </w:rPr>
        <w:lastRenderedPageBreak/>
        <w:t>Hydrophobicity scales</w:t>
      </w:r>
      <w:bookmarkEnd w:id="0"/>
    </w:p>
    <w:p w14:paraId="431DB163" w14:textId="77777777" w:rsidR="00AA1224" w:rsidRDefault="00AA1224" w:rsidP="00AA1224">
      <w:pPr>
        <w:pStyle w:val="NormalWeb"/>
        <w:rPr>
          <w:rFonts w:ascii="Times" w:hAnsi="Times"/>
          <w:color w:val="000000"/>
          <w:sz w:val="27"/>
          <w:szCs w:val="27"/>
        </w:rPr>
      </w:pPr>
      <w:r>
        <w:rPr>
          <w:rFonts w:ascii="Times" w:hAnsi="Times"/>
          <w:color w:val="000000"/>
          <w:sz w:val="27"/>
          <w:szCs w:val="27"/>
        </w:rPr>
        <w:t>Several hydrophobicity scales have been published for various uses. Many of the commonly used hydrophobicity scales are described below.</w:t>
      </w:r>
    </w:p>
    <w:p w14:paraId="652B0BF0" w14:textId="77777777" w:rsidR="00AA1224" w:rsidRDefault="00AA1224" w:rsidP="00AA1224">
      <w:pPr>
        <w:pStyle w:val="NormalWeb"/>
        <w:rPr>
          <w:rFonts w:ascii="Times" w:hAnsi="Times"/>
          <w:color w:val="000000"/>
          <w:sz w:val="27"/>
          <w:szCs w:val="27"/>
        </w:rPr>
      </w:pPr>
      <w:bookmarkStart w:id="1" w:name="26999"/>
      <w:bookmarkEnd w:id="1"/>
      <w:r>
        <w:rPr>
          <w:rFonts w:ascii="Times" w:hAnsi="Times"/>
          <w:b/>
          <w:bCs/>
          <w:color w:val="000000"/>
          <w:sz w:val="27"/>
          <w:szCs w:val="27"/>
        </w:rPr>
        <w:t xml:space="preserve">Kyte-Doolittle </w:t>
      </w:r>
      <w:proofErr w:type="spellStart"/>
      <w:proofErr w:type="gramStart"/>
      <w:r>
        <w:rPr>
          <w:rFonts w:ascii="Times" w:hAnsi="Times"/>
          <w:b/>
          <w:bCs/>
          <w:color w:val="000000"/>
          <w:sz w:val="27"/>
          <w:szCs w:val="27"/>
        </w:rPr>
        <w:t>scale.</w:t>
      </w:r>
      <w:r>
        <w:rPr>
          <w:rFonts w:ascii="Times" w:hAnsi="Times"/>
          <w:color w:val="000000"/>
          <w:sz w:val="27"/>
          <w:szCs w:val="27"/>
        </w:rPr>
        <w:t>The</w:t>
      </w:r>
      <w:proofErr w:type="spellEnd"/>
      <w:proofErr w:type="gramEnd"/>
      <w:r>
        <w:rPr>
          <w:rFonts w:ascii="Times" w:hAnsi="Times"/>
          <w:color w:val="000000"/>
          <w:sz w:val="27"/>
          <w:szCs w:val="27"/>
        </w:rPr>
        <w:t xml:space="preserve"> Kyte-Doolittle scale is widely used for detecting hydrophobic regions in proteins. Regions with a positive value are hydrophobic. This scale can be used for identifying both surface-exposed regions as well as transmembrane regions, depending on the window size used. Short window sizes of 5-7 generally work well for predicting putative surface-exposed regions. Large window sizes of 19-21 are well suited for finding transmembrane domains if the values calculated are above 1.6 [</w:t>
      </w:r>
      <w:hyperlink r:id="rId5" w:anchor="kyte82jmb" w:tgtFrame="_top" w:history="1">
        <w:r>
          <w:rPr>
            <w:rStyle w:val="Hyperlink"/>
            <w:rFonts w:ascii="Times" w:eastAsiaTheme="majorEastAsia" w:hAnsi="Times"/>
            <w:sz w:val="27"/>
            <w:szCs w:val="27"/>
          </w:rPr>
          <w:t>Kyte and Doolittle, 1982</w:t>
        </w:r>
      </w:hyperlink>
      <w:r>
        <w:rPr>
          <w:rFonts w:ascii="Times" w:hAnsi="Times"/>
          <w:color w:val="000000"/>
          <w:sz w:val="27"/>
          <w:szCs w:val="27"/>
        </w:rPr>
        <w:t>]. These values should be used as a rule of thumb and deviations from the rule may occur.</w:t>
      </w:r>
    </w:p>
    <w:p w14:paraId="3F75E262" w14:textId="77777777" w:rsidR="00AA1224" w:rsidRDefault="00AA1224" w:rsidP="00AA1224">
      <w:pPr>
        <w:pStyle w:val="NormalWeb"/>
        <w:rPr>
          <w:rFonts w:ascii="Times" w:hAnsi="Times"/>
          <w:color w:val="000000"/>
          <w:sz w:val="27"/>
          <w:szCs w:val="27"/>
        </w:rPr>
      </w:pPr>
      <w:bookmarkStart w:id="2" w:name="27002"/>
      <w:bookmarkEnd w:id="2"/>
      <w:r>
        <w:rPr>
          <w:rFonts w:ascii="Times" w:hAnsi="Times"/>
          <w:b/>
          <w:bCs/>
          <w:color w:val="000000"/>
          <w:sz w:val="27"/>
          <w:szCs w:val="27"/>
        </w:rPr>
        <w:t>Engelman scale.</w:t>
      </w:r>
      <w:r>
        <w:rPr>
          <w:rFonts w:ascii="Times" w:hAnsi="Times"/>
          <w:color w:val="000000"/>
          <w:sz w:val="27"/>
          <w:szCs w:val="27"/>
        </w:rPr>
        <w:t> The Engelman hydrophobicity scale, also known as the GES-scale, is another scale which can be used for prediction of protein hydrophobicity [</w:t>
      </w:r>
      <w:hyperlink r:id="rId6" w:anchor="engelman86arbbc" w:tgtFrame="_top" w:history="1">
        <w:r>
          <w:rPr>
            <w:rStyle w:val="Hyperlink"/>
            <w:rFonts w:ascii="Times" w:eastAsiaTheme="majorEastAsia" w:hAnsi="Times"/>
            <w:sz w:val="27"/>
            <w:szCs w:val="27"/>
          </w:rPr>
          <w:t>Engelman et al., 1986</w:t>
        </w:r>
      </w:hyperlink>
      <w:r>
        <w:rPr>
          <w:rFonts w:ascii="Times" w:hAnsi="Times"/>
          <w:color w:val="000000"/>
          <w:sz w:val="27"/>
          <w:szCs w:val="27"/>
        </w:rPr>
        <w:t>]. As the Kyte-Doolittle scale, this scale is useful for predicting transmembrane regions in proteins.</w:t>
      </w:r>
    </w:p>
    <w:p w14:paraId="287AAE88" w14:textId="77777777" w:rsidR="00AA1224" w:rsidRDefault="00AA1224" w:rsidP="00AA1224">
      <w:pPr>
        <w:pStyle w:val="NormalWeb"/>
        <w:rPr>
          <w:rFonts w:ascii="Times" w:hAnsi="Times"/>
          <w:color w:val="000000"/>
          <w:sz w:val="27"/>
          <w:szCs w:val="27"/>
        </w:rPr>
      </w:pPr>
      <w:bookmarkStart w:id="3" w:name="27005"/>
      <w:bookmarkEnd w:id="3"/>
      <w:r>
        <w:rPr>
          <w:rFonts w:ascii="Times" w:hAnsi="Times"/>
          <w:b/>
          <w:bCs/>
          <w:color w:val="000000"/>
          <w:sz w:val="27"/>
          <w:szCs w:val="27"/>
        </w:rPr>
        <w:t>Eisenberg scale.</w:t>
      </w:r>
      <w:r>
        <w:rPr>
          <w:rFonts w:ascii="Times" w:hAnsi="Times"/>
          <w:color w:val="000000"/>
          <w:sz w:val="27"/>
          <w:szCs w:val="27"/>
        </w:rPr>
        <w:t> The Eisenberg scale is a normalized consensus hydrophobicity scale which shares many features with the other hydrophobicity scales [</w:t>
      </w:r>
      <w:hyperlink r:id="rId7" w:anchor="eisenberg84jmb" w:tgtFrame="_top" w:history="1">
        <w:r>
          <w:rPr>
            <w:rStyle w:val="Hyperlink"/>
            <w:rFonts w:ascii="Times" w:eastAsiaTheme="majorEastAsia" w:hAnsi="Times"/>
            <w:sz w:val="27"/>
            <w:szCs w:val="27"/>
          </w:rPr>
          <w:t>Eisenberg et al., 1984</w:t>
        </w:r>
      </w:hyperlink>
      <w:r>
        <w:rPr>
          <w:rFonts w:ascii="Times" w:hAnsi="Times"/>
          <w:color w:val="000000"/>
          <w:sz w:val="27"/>
          <w:szCs w:val="27"/>
        </w:rPr>
        <w:t>].</w:t>
      </w:r>
    </w:p>
    <w:p w14:paraId="05866496" w14:textId="77777777" w:rsidR="00AA1224" w:rsidRDefault="00AA1224" w:rsidP="00AA1224">
      <w:pPr>
        <w:pStyle w:val="NormalWeb"/>
        <w:rPr>
          <w:rFonts w:ascii="Times" w:hAnsi="Times"/>
          <w:color w:val="000000"/>
          <w:sz w:val="27"/>
          <w:szCs w:val="27"/>
        </w:rPr>
      </w:pPr>
      <w:bookmarkStart w:id="4" w:name="27008"/>
      <w:bookmarkEnd w:id="4"/>
      <w:r>
        <w:rPr>
          <w:rFonts w:ascii="Times" w:hAnsi="Times"/>
          <w:b/>
          <w:bCs/>
          <w:color w:val="000000"/>
          <w:sz w:val="27"/>
          <w:szCs w:val="27"/>
        </w:rPr>
        <w:t>Hopp-Woods scale.</w:t>
      </w:r>
      <w:r>
        <w:rPr>
          <w:rFonts w:ascii="Times" w:hAnsi="Times"/>
          <w:color w:val="000000"/>
          <w:sz w:val="27"/>
          <w:szCs w:val="27"/>
        </w:rPr>
        <w:t> Hopp and Woods developed their hydrophobicity scale for identification of potentially antigenic sites in proteins. This scale is basically a hydrophilic index where apolar residues have been assigned negative values. Antigenic sites are likely to be predicted when using a window size of 7 [</w:t>
      </w:r>
      <w:hyperlink r:id="rId8" w:anchor="hopp83molimmu" w:tgtFrame="_top" w:history="1">
        <w:r>
          <w:rPr>
            <w:rStyle w:val="Hyperlink"/>
            <w:rFonts w:ascii="Times" w:eastAsiaTheme="majorEastAsia" w:hAnsi="Times"/>
            <w:sz w:val="27"/>
            <w:szCs w:val="27"/>
          </w:rPr>
          <w:t>Hopp and Woods, 1983</w:t>
        </w:r>
      </w:hyperlink>
      <w:r>
        <w:rPr>
          <w:rFonts w:ascii="Times" w:hAnsi="Times"/>
          <w:color w:val="000000"/>
          <w:sz w:val="27"/>
          <w:szCs w:val="27"/>
        </w:rPr>
        <w:t>].</w:t>
      </w:r>
    </w:p>
    <w:p w14:paraId="0FCD856B" w14:textId="77777777" w:rsidR="00AA1224" w:rsidRDefault="00AA1224" w:rsidP="00AA1224">
      <w:pPr>
        <w:pStyle w:val="NormalWeb"/>
        <w:rPr>
          <w:rFonts w:ascii="Times" w:hAnsi="Times"/>
          <w:color w:val="000000"/>
          <w:sz w:val="27"/>
          <w:szCs w:val="27"/>
        </w:rPr>
      </w:pPr>
      <w:bookmarkStart w:id="5" w:name="27011"/>
      <w:bookmarkEnd w:id="5"/>
      <w:r>
        <w:rPr>
          <w:rFonts w:ascii="Times" w:hAnsi="Times"/>
          <w:b/>
          <w:bCs/>
          <w:color w:val="000000"/>
          <w:sz w:val="27"/>
          <w:szCs w:val="27"/>
        </w:rPr>
        <w:t>Cornette scale.</w:t>
      </w:r>
      <w:r>
        <w:rPr>
          <w:rFonts w:ascii="Times" w:hAnsi="Times"/>
          <w:color w:val="000000"/>
          <w:sz w:val="27"/>
          <w:szCs w:val="27"/>
        </w:rPr>
        <w:t> Cornette </w:t>
      </w:r>
      <w:r>
        <w:rPr>
          <w:rFonts w:ascii="Times" w:hAnsi="Times"/>
          <w:i/>
          <w:iCs/>
          <w:color w:val="000000"/>
          <w:sz w:val="27"/>
          <w:szCs w:val="27"/>
        </w:rPr>
        <w:t>et al.</w:t>
      </w:r>
      <w:r>
        <w:rPr>
          <w:rFonts w:ascii="Times" w:hAnsi="Times"/>
          <w:color w:val="000000"/>
          <w:sz w:val="27"/>
          <w:szCs w:val="27"/>
        </w:rPr>
        <w:t> computed an optimal hydrophobicity scale based on 28 published scales [</w:t>
      </w:r>
      <w:hyperlink r:id="rId9" w:anchor="cornette87jmb" w:tgtFrame="_top" w:history="1">
        <w:r>
          <w:rPr>
            <w:rStyle w:val="Hyperlink"/>
            <w:rFonts w:ascii="Times" w:eastAsiaTheme="majorEastAsia" w:hAnsi="Times"/>
            <w:sz w:val="27"/>
            <w:szCs w:val="27"/>
          </w:rPr>
          <w:t>Cornette et al., 1987</w:t>
        </w:r>
      </w:hyperlink>
      <w:r>
        <w:rPr>
          <w:rFonts w:ascii="Times" w:hAnsi="Times"/>
          <w:color w:val="000000"/>
          <w:sz w:val="27"/>
          <w:szCs w:val="27"/>
        </w:rPr>
        <w:t>]. This optimized scale is also suitable for prediction of alpha-helices in proteins.</w:t>
      </w:r>
    </w:p>
    <w:p w14:paraId="5A8412D1" w14:textId="77777777" w:rsidR="00AA1224" w:rsidRDefault="00AA1224" w:rsidP="00AA1224">
      <w:pPr>
        <w:pStyle w:val="NormalWeb"/>
        <w:rPr>
          <w:rFonts w:ascii="Times" w:hAnsi="Times"/>
          <w:color w:val="000000"/>
          <w:sz w:val="27"/>
          <w:szCs w:val="27"/>
        </w:rPr>
      </w:pPr>
      <w:bookmarkStart w:id="6" w:name="27015"/>
      <w:bookmarkEnd w:id="6"/>
      <w:r>
        <w:rPr>
          <w:rFonts w:ascii="Times" w:hAnsi="Times"/>
          <w:b/>
          <w:bCs/>
          <w:color w:val="000000"/>
          <w:sz w:val="27"/>
          <w:szCs w:val="27"/>
        </w:rPr>
        <w:t>Rose scale.</w:t>
      </w:r>
      <w:r>
        <w:rPr>
          <w:rFonts w:ascii="Times" w:hAnsi="Times"/>
          <w:color w:val="000000"/>
          <w:sz w:val="27"/>
          <w:szCs w:val="27"/>
        </w:rPr>
        <w:t> The hydrophobicity scale by Rose </w:t>
      </w:r>
      <w:r>
        <w:rPr>
          <w:rFonts w:ascii="Times" w:hAnsi="Times"/>
          <w:i/>
          <w:iCs/>
          <w:color w:val="000000"/>
          <w:sz w:val="27"/>
          <w:szCs w:val="27"/>
        </w:rPr>
        <w:t>et al.</w:t>
      </w:r>
      <w:r>
        <w:rPr>
          <w:rFonts w:ascii="Times" w:hAnsi="Times"/>
          <w:color w:val="000000"/>
          <w:sz w:val="27"/>
          <w:szCs w:val="27"/>
        </w:rPr>
        <w:t> is correlated to the average area of buried amino acids in globular proteins [</w:t>
      </w:r>
      <w:hyperlink r:id="rId10" w:anchor="rose85science" w:tgtFrame="_top" w:history="1">
        <w:r>
          <w:rPr>
            <w:rStyle w:val="Hyperlink"/>
            <w:rFonts w:ascii="Times" w:eastAsiaTheme="majorEastAsia" w:hAnsi="Times"/>
            <w:sz w:val="27"/>
            <w:szCs w:val="27"/>
          </w:rPr>
          <w:t>Rose et al., 1985</w:t>
        </w:r>
      </w:hyperlink>
      <w:r>
        <w:rPr>
          <w:rFonts w:ascii="Times" w:hAnsi="Times"/>
          <w:color w:val="000000"/>
          <w:sz w:val="27"/>
          <w:szCs w:val="27"/>
        </w:rPr>
        <w:t>]. This results in a scale which is not showing the helices of a protein, but rather the surface accessibility.</w:t>
      </w:r>
    </w:p>
    <w:p w14:paraId="17D2B791" w14:textId="77777777" w:rsidR="00AA1224" w:rsidRDefault="00AA1224" w:rsidP="00AA1224">
      <w:pPr>
        <w:pStyle w:val="NormalWeb"/>
        <w:rPr>
          <w:rFonts w:ascii="Times" w:hAnsi="Times"/>
          <w:color w:val="000000"/>
          <w:sz w:val="27"/>
          <w:szCs w:val="27"/>
        </w:rPr>
      </w:pPr>
      <w:bookmarkStart w:id="7" w:name="27019"/>
      <w:bookmarkEnd w:id="7"/>
      <w:r>
        <w:rPr>
          <w:rFonts w:ascii="Times" w:hAnsi="Times"/>
          <w:b/>
          <w:bCs/>
          <w:color w:val="000000"/>
          <w:sz w:val="27"/>
          <w:szCs w:val="27"/>
        </w:rPr>
        <w:lastRenderedPageBreak/>
        <w:t>Janin scale.</w:t>
      </w:r>
      <w:r>
        <w:rPr>
          <w:rFonts w:ascii="Times" w:hAnsi="Times"/>
          <w:color w:val="000000"/>
          <w:sz w:val="27"/>
          <w:szCs w:val="27"/>
        </w:rPr>
        <w:t> This scale also provides information about the accessible and buried amino acid residues of globular proteins [</w:t>
      </w:r>
      <w:hyperlink r:id="rId11" w:anchor="janin79nature" w:tgtFrame="_top" w:history="1">
        <w:r>
          <w:rPr>
            <w:rStyle w:val="Hyperlink"/>
            <w:rFonts w:ascii="Times" w:eastAsiaTheme="majorEastAsia" w:hAnsi="Times"/>
            <w:sz w:val="27"/>
            <w:szCs w:val="27"/>
          </w:rPr>
          <w:t>Janin, 1979</w:t>
        </w:r>
      </w:hyperlink>
      <w:r>
        <w:rPr>
          <w:rFonts w:ascii="Times" w:hAnsi="Times"/>
          <w:color w:val="000000"/>
          <w:sz w:val="27"/>
          <w:szCs w:val="27"/>
        </w:rPr>
        <w:t>].</w:t>
      </w:r>
    </w:p>
    <w:p w14:paraId="09D8EEC6" w14:textId="77777777" w:rsidR="00AA1224" w:rsidRDefault="00AA1224" w:rsidP="00AA1224">
      <w:pPr>
        <w:pStyle w:val="NormalWeb"/>
        <w:rPr>
          <w:rFonts w:ascii="Times" w:hAnsi="Times"/>
          <w:color w:val="000000"/>
          <w:sz w:val="27"/>
          <w:szCs w:val="27"/>
        </w:rPr>
      </w:pPr>
      <w:bookmarkStart w:id="8" w:name="27022"/>
      <w:bookmarkEnd w:id="8"/>
      <w:r>
        <w:rPr>
          <w:rFonts w:ascii="Times" w:hAnsi="Times"/>
          <w:b/>
          <w:bCs/>
          <w:color w:val="000000"/>
          <w:sz w:val="27"/>
          <w:szCs w:val="27"/>
        </w:rPr>
        <w:t xml:space="preserve">Welling </w:t>
      </w:r>
      <w:proofErr w:type="spellStart"/>
      <w:proofErr w:type="gramStart"/>
      <w:r>
        <w:rPr>
          <w:rFonts w:ascii="Times" w:hAnsi="Times"/>
          <w:b/>
          <w:bCs/>
          <w:color w:val="000000"/>
          <w:sz w:val="27"/>
          <w:szCs w:val="27"/>
        </w:rPr>
        <w:t>scale.</w:t>
      </w:r>
      <w:r>
        <w:rPr>
          <w:rFonts w:ascii="Times" w:hAnsi="Times"/>
          <w:color w:val="000000"/>
          <w:sz w:val="27"/>
          <w:szCs w:val="27"/>
        </w:rPr>
        <w:t>Welling</w:t>
      </w:r>
      <w:proofErr w:type="spellEnd"/>
      <w:proofErr w:type="gramEnd"/>
      <w:r>
        <w:rPr>
          <w:rFonts w:ascii="Times" w:hAnsi="Times"/>
          <w:color w:val="000000"/>
          <w:sz w:val="27"/>
          <w:szCs w:val="27"/>
        </w:rPr>
        <w:t xml:space="preserve"> et al. used information on the relative occurrence of amino acids in antigenic regions to make a scale which is useful for prediction of antigenic regions. This method is better than the Hopp-Woods scale of hydrophobicity which is also used to identify antigenic regions.</w:t>
      </w:r>
    </w:p>
    <w:p w14:paraId="624CE523" w14:textId="77777777" w:rsidR="00AA1224" w:rsidRDefault="00AA1224" w:rsidP="00AA1224">
      <w:pPr>
        <w:pStyle w:val="NormalWeb"/>
        <w:rPr>
          <w:rFonts w:ascii="Times" w:hAnsi="Times"/>
          <w:color w:val="000000"/>
          <w:sz w:val="27"/>
          <w:szCs w:val="27"/>
        </w:rPr>
      </w:pPr>
      <w:bookmarkStart w:id="9" w:name="27024"/>
      <w:bookmarkEnd w:id="9"/>
      <w:proofErr w:type="spellStart"/>
      <w:r>
        <w:rPr>
          <w:rFonts w:ascii="Times" w:hAnsi="Times"/>
          <w:b/>
          <w:bCs/>
          <w:color w:val="000000"/>
          <w:sz w:val="27"/>
          <w:szCs w:val="27"/>
        </w:rPr>
        <w:t>Kolaskar-Tongaonkar.</w:t>
      </w:r>
      <w:r>
        <w:rPr>
          <w:rFonts w:ascii="Times" w:hAnsi="Times"/>
          <w:color w:val="000000"/>
          <w:sz w:val="27"/>
          <w:szCs w:val="27"/>
        </w:rPr>
        <w:t>A</w:t>
      </w:r>
      <w:proofErr w:type="spellEnd"/>
      <w:r>
        <w:rPr>
          <w:rFonts w:ascii="Times" w:hAnsi="Times"/>
          <w:color w:val="000000"/>
          <w:sz w:val="27"/>
          <w:szCs w:val="27"/>
        </w:rPr>
        <w:t xml:space="preserve"> semi-empirical method for prediction of antigenic regions has been developed [</w:t>
      </w:r>
      <w:proofErr w:type="spellStart"/>
      <w:r>
        <w:rPr>
          <w:rFonts w:ascii="Times" w:hAnsi="Times"/>
          <w:color w:val="000000"/>
          <w:sz w:val="27"/>
          <w:szCs w:val="27"/>
        </w:rPr>
        <w:fldChar w:fldCharType="begin"/>
      </w:r>
      <w:r>
        <w:rPr>
          <w:rFonts w:ascii="Times" w:hAnsi="Times"/>
          <w:color w:val="000000"/>
          <w:sz w:val="27"/>
          <w:szCs w:val="27"/>
        </w:rPr>
        <w:instrText>HYPERLINK "https://resources.qiagenbioinformatics.com/manuals/clcgenomicsworkbench/650/index.php?manual=Bibliography.html" \l "kolaskar90febs" \t "_top"</w:instrText>
      </w:r>
      <w:r>
        <w:rPr>
          <w:rFonts w:ascii="Times" w:hAnsi="Times"/>
          <w:color w:val="000000"/>
          <w:sz w:val="27"/>
          <w:szCs w:val="27"/>
        </w:rPr>
      </w:r>
      <w:r>
        <w:rPr>
          <w:rFonts w:ascii="Times" w:hAnsi="Times"/>
          <w:color w:val="000000"/>
          <w:sz w:val="27"/>
          <w:szCs w:val="27"/>
        </w:rPr>
        <w:fldChar w:fldCharType="separate"/>
      </w:r>
      <w:r>
        <w:rPr>
          <w:rStyle w:val="Hyperlink"/>
          <w:rFonts w:ascii="Times" w:eastAsiaTheme="majorEastAsia" w:hAnsi="Times"/>
          <w:sz w:val="27"/>
          <w:szCs w:val="27"/>
        </w:rPr>
        <w:t>Kolaskar</w:t>
      </w:r>
      <w:proofErr w:type="spellEnd"/>
      <w:r>
        <w:rPr>
          <w:rStyle w:val="Hyperlink"/>
          <w:rFonts w:ascii="Times" w:eastAsiaTheme="majorEastAsia" w:hAnsi="Times"/>
          <w:sz w:val="27"/>
          <w:szCs w:val="27"/>
        </w:rPr>
        <w:t xml:space="preserve"> and </w:t>
      </w:r>
      <w:proofErr w:type="spellStart"/>
      <w:r>
        <w:rPr>
          <w:rStyle w:val="Hyperlink"/>
          <w:rFonts w:ascii="Times" w:eastAsiaTheme="majorEastAsia" w:hAnsi="Times"/>
          <w:sz w:val="27"/>
          <w:szCs w:val="27"/>
        </w:rPr>
        <w:t>Tongaonkar</w:t>
      </w:r>
      <w:proofErr w:type="spellEnd"/>
      <w:r>
        <w:rPr>
          <w:rStyle w:val="Hyperlink"/>
          <w:rFonts w:ascii="Times" w:eastAsiaTheme="majorEastAsia" w:hAnsi="Times"/>
          <w:sz w:val="27"/>
          <w:szCs w:val="27"/>
        </w:rPr>
        <w:t>, 1990</w:t>
      </w:r>
      <w:r>
        <w:rPr>
          <w:rFonts w:ascii="Times" w:hAnsi="Times"/>
          <w:color w:val="000000"/>
          <w:sz w:val="27"/>
          <w:szCs w:val="27"/>
        </w:rPr>
        <w:fldChar w:fldCharType="end"/>
      </w:r>
      <w:r>
        <w:rPr>
          <w:rFonts w:ascii="Times" w:hAnsi="Times"/>
          <w:color w:val="000000"/>
          <w:sz w:val="27"/>
          <w:szCs w:val="27"/>
        </w:rPr>
        <w:t>]. This method also includes information of surface accessibility and flexibility and at the time of publication the method was able to predict antigenic determinants with an accuracy of 75%.</w:t>
      </w:r>
    </w:p>
    <w:p w14:paraId="3AFF6D4C" w14:textId="77777777" w:rsidR="00AA1224" w:rsidRDefault="00AA1224" w:rsidP="00AA1224">
      <w:pPr>
        <w:pStyle w:val="NormalWeb"/>
        <w:rPr>
          <w:rFonts w:ascii="Times" w:hAnsi="Times"/>
          <w:color w:val="000000"/>
          <w:sz w:val="27"/>
          <w:szCs w:val="27"/>
        </w:rPr>
      </w:pPr>
      <w:bookmarkStart w:id="10" w:name="27027"/>
      <w:bookmarkEnd w:id="10"/>
      <w:r>
        <w:rPr>
          <w:rFonts w:ascii="Times" w:hAnsi="Times"/>
          <w:b/>
          <w:bCs/>
          <w:color w:val="000000"/>
          <w:sz w:val="27"/>
          <w:szCs w:val="27"/>
        </w:rPr>
        <w:t>Surface Probability.</w:t>
      </w:r>
      <w:r>
        <w:rPr>
          <w:rFonts w:ascii="Times" w:hAnsi="Times"/>
          <w:color w:val="000000"/>
          <w:sz w:val="27"/>
          <w:szCs w:val="27"/>
        </w:rPr>
        <w:t> Display of surface probability based on the algorithm by [</w:t>
      </w:r>
      <w:hyperlink r:id="rId12" w:anchor="emini85jvirol" w:tgtFrame="_top" w:history="1">
        <w:r>
          <w:rPr>
            <w:rStyle w:val="Hyperlink"/>
            <w:rFonts w:ascii="Times" w:eastAsiaTheme="majorEastAsia" w:hAnsi="Times"/>
            <w:sz w:val="27"/>
            <w:szCs w:val="27"/>
          </w:rPr>
          <w:t>Emini et al., 1985</w:t>
        </w:r>
      </w:hyperlink>
      <w:r>
        <w:rPr>
          <w:rFonts w:ascii="Times" w:hAnsi="Times"/>
          <w:color w:val="000000"/>
          <w:sz w:val="27"/>
          <w:szCs w:val="27"/>
        </w:rPr>
        <w:t>]. This algorithm has been used to identify antigenic determinants on the surface of proteins.</w:t>
      </w:r>
    </w:p>
    <w:p w14:paraId="7410C091" w14:textId="77777777" w:rsidR="00AA1224" w:rsidRDefault="00AA1224" w:rsidP="00AA1224">
      <w:pPr>
        <w:pStyle w:val="NormalWeb"/>
        <w:rPr>
          <w:rFonts w:ascii="Times" w:hAnsi="Times"/>
          <w:color w:val="000000"/>
          <w:sz w:val="27"/>
          <w:szCs w:val="27"/>
        </w:rPr>
      </w:pPr>
      <w:bookmarkStart w:id="11" w:name="27030"/>
      <w:bookmarkEnd w:id="11"/>
      <w:r>
        <w:rPr>
          <w:rFonts w:ascii="Times" w:hAnsi="Times"/>
          <w:b/>
          <w:bCs/>
          <w:color w:val="000000"/>
          <w:sz w:val="27"/>
          <w:szCs w:val="27"/>
        </w:rPr>
        <w:t xml:space="preserve">Chain </w:t>
      </w:r>
      <w:proofErr w:type="spellStart"/>
      <w:r>
        <w:rPr>
          <w:rFonts w:ascii="Times" w:hAnsi="Times"/>
          <w:b/>
          <w:bCs/>
          <w:color w:val="000000"/>
          <w:sz w:val="27"/>
          <w:szCs w:val="27"/>
        </w:rPr>
        <w:t>Flexibility.</w:t>
      </w:r>
      <w:r>
        <w:rPr>
          <w:rFonts w:ascii="Times" w:hAnsi="Times"/>
          <w:color w:val="000000"/>
          <w:sz w:val="27"/>
          <w:szCs w:val="27"/>
        </w:rPr>
        <w:t>isplay</w:t>
      </w:r>
      <w:proofErr w:type="spellEnd"/>
      <w:r>
        <w:rPr>
          <w:rFonts w:ascii="Times" w:hAnsi="Times"/>
          <w:color w:val="000000"/>
          <w:sz w:val="27"/>
          <w:szCs w:val="27"/>
        </w:rPr>
        <w:t xml:space="preserve"> of backbone chain flexibility based on the algorithm by [</w:t>
      </w:r>
      <w:hyperlink r:id="rId13" w:anchor="karplus85" w:tgtFrame="_top" w:history="1">
        <w:r>
          <w:rPr>
            <w:rStyle w:val="Hyperlink"/>
            <w:rFonts w:ascii="Times" w:eastAsiaTheme="majorEastAsia" w:hAnsi="Times"/>
            <w:sz w:val="27"/>
            <w:szCs w:val="27"/>
          </w:rPr>
          <w:t>Karplus and Schulz, 1985</w:t>
        </w:r>
      </w:hyperlink>
      <w:r>
        <w:rPr>
          <w:rFonts w:ascii="Times" w:hAnsi="Times"/>
          <w:color w:val="000000"/>
          <w:sz w:val="27"/>
          <w:szCs w:val="27"/>
        </w:rPr>
        <w:t>]. It is known that chain flexibility is an indication of a putative antigenic determinant.</w:t>
      </w:r>
    </w:p>
    <w:p w14:paraId="41B87136" w14:textId="77777777" w:rsidR="00AA1224" w:rsidRDefault="00AA1224" w:rsidP="00AA1224">
      <w:pPr>
        <w:pStyle w:val="NormalWeb"/>
        <w:rPr>
          <w:rFonts w:ascii="Times" w:hAnsi="Times"/>
          <w:color w:val="000000"/>
          <w:sz w:val="27"/>
          <w:szCs w:val="27"/>
        </w:rPr>
      </w:pPr>
      <w:r>
        <w:rPr>
          <w:rFonts w:ascii="Times" w:hAnsi="Times"/>
          <w:color w:val="000000"/>
          <w:sz w:val="27"/>
          <w:szCs w:val="27"/>
        </w:rPr>
        <w:t>Many more scales have been published throughout the last three decades. Even though more advanced methods have been developed for prediction of membrane spanning regions, the simple and very fast calculations are still highly used.</w:t>
      </w:r>
    </w:p>
    <w:p w14:paraId="4B3B74D7" w14:textId="410687EE" w:rsidR="00D54962" w:rsidRDefault="00D54962">
      <w:pPr>
        <w:spacing w:after="160" w:line="278" w:lineRule="auto"/>
      </w:pPr>
      <w:r>
        <w:br w:type="page"/>
      </w:r>
    </w:p>
    <w:p w14:paraId="46316614" w14:textId="77777777" w:rsidR="00D54962" w:rsidRDefault="00D54962" w:rsidP="00D54962">
      <w:r>
        <w:lastRenderedPageBreak/>
        <w:t>The atomic solvation parameters (ASPs) developed by T. Ooi and colleagues are a set of numerical coefficients used to estimate the solvation free energy of a molecule based on the solvent-accessible surface area (ASA) of its individual atoms</w:t>
      </w:r>
    </w:p>
    <w:p w14:paraId="7025EEAB" w14:textId="77777777" w:rsidR="00D54962" w:rsidRDefault="00D54962" w:rsidP="00D54962">
      <w:r>
        <w:t>.</w:t>
      </w:r>
      <w:r>
        <w:rPr>
          <w:rStyle w:val="vkekvd"/>
          <w:rFonts w:eastAsiaTheme="majorEastAsia"/>
        </w:rPr>
        <w:t> </w:t>
      </w:r>
    </w:p>
    <w:p w14:paraId="7A421B6A" w14:textId="77777777" w:rsidR="00D54962" w:rsidRDefault="00D54962" w:rsidP="00D54962">
      <w:r>
        <w:t xml:space="preserve">This method, often called the OONS model (Ooi, </w:t>
      </w:r>
      <w:proofErr w:type="spellStart"/>
      <w:r>
        <w:t>Oobatake</w:t>
      </w:r>
      <w:proofErr w:type="spellEnd"/>
      <w:r>
        <w:t xml:space="preserve">, Némethy, and </w:t>
      </w:r>
      <w:proofErr w:type="spellStart"/>
      <w:r>
        <w:t>Scheraga</w:t>
      </w:r>
      <w:proofErr w:type="spellEnd"/>
      <w:r>
        <w:t>), is an "implicit solvent" model, which treats the solvent (e.g., water) as a continuous medium rather than individual molecules. This simplification allows for faster calculations compared to computationally intensive "explicit solvent" molecular dynamics simulations where every solvent molecule is tracked.</w:t>
      </w:r>
      <w:r>
        <w:rPr>
          <w:rStyle w:val="vkekvd"/>
          <w:rFonts w:eastAsiaTheme="majorEastAsia"/>
        </w:rPr>
        <w:t> </w:t>
      </w:r>
    </w:p>
    <w:p w14:paraId="5522B71B" w14:textId="77777777" w:rsidR="00D54962" w:rsidRDefault="00D54962" w:rsidP="00D54962">
      <w:r>
        <w:t>How the Ooi et al. model works</w:t>
      </w:r>
      <w:r>
        <w:rPr>
          <w:rStyle w:val="vkekvd"/>
          <w:rFonts w:eastAsiaTheme="majorEastAsia"/>
        </w:rPr>
        <w:t> </w:t>
      </w:r>
    </w:p>
    <w:p w14:paraId="2FD75B8E" w14:textId="77777777" w:rsidR="00D54962" w:rsidRDefault="00D54962" w:rsidP="00D54962">
      <w:pPr>
        <w:rPr>
          <w:rStyle w:val="mtejhd"/>
          <w:rFonts w:eastAsiaTheme="majorEastAsia"/>
        </w:rPr>
      </w:pPr>
      <w:r>
        <w:t xml:space="preserve">The Ooi et al. method calculates the total solvation free energy, </w:t>
      </w:r>
    </w:p>
    <w:p w14:paraId="73E01AC5" w14:textId="66951712" w:rsidR="00D54962" w:rsidRDefault="00D54962" w:rsidP="00D54962">
      <w:pPr>
        <w:rPr>
          <w:rFonts w:eastAsiaTheme="majorEastAsia"/>
        </w:rPr>
      </w:pPr>
      <w:r>
        <w:rPr>
          <w:noProof/>
        </w:rPr>
        <w:drawing>
          <wp:inline distT="0" distB="0" distL="0" distR="0" wp14:anchorId="05A52767" wp14:editId="4DB2FCB2">
            <wp:extent cx="8255" cy="8255"/>
            <wp:effectExtent l="0" t="0" r="0" b="0"/>
            <wp:docPr id="20584621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14:paraId="776FDCA4" w14:textId="77777777" w:rsidR="00D54962" w:rsidRDefault="00D54962" w:rsidP="00D54962">
      <w:proofErr w:type="spellStart"/>
      <w:r>
        <w:t>Gsolvationcap</w:t>
      </w:r>
      <w:proofErr w:type="spellEnd"/>
      <w:r>
        <w:t xml:space="preserve"> G sub solvation end-sub</w:t>
      </w:r>
    </w:p>
    <w:p w14:paraId="19708122" w14:textId="77777777" w:rsidR="00D54962" w:rsidRDefault="00D54962" w:rsidP="00D54962">
      <w:r>
        <w:rPr>
          <w:rFonts w:ascii="Cambria Math" w:hAnsi="Cambria Math" w:cs="Cambria Math"/>
        </w:rPr>
        <w:t>𝐺</w:t>
      </w:r>
      <w:r>
        <w:t>solvation</w:t>
      </w:r>
    </w:p>
    <w:p w14:paraId="0C16AB14" w14:textId="77777777" w:rsidR="00D54962" w:rsidRDefault="00D54962" w:rsidP="00D54962">
      <w:r>
        <w:t>, as a sum of contributions from each atom in the molecule:</w:t>
      </w:r>
      <w:r>
        <w:rPr>
          <w:rStyle w:val="vkekvd"/>
          <w:rFonts w:eastAsiaTheme="majorEastAsia"/>
        </w:rPr>
        <w:t> </w:t>
      </w:r>
    </w:p>
    <w:p w14:paraId="5CADDACE" w14:textId="70A694D1" w:rsidR="00D54962" w:rsidRDefault="00D54962" w:rsidP="00D54962">
      <w:r>
        <w:rPr>
          <w:noProof/>
        </w:rPr>
        <w:drawing>
          <wp:inline distT="0" distB="0" distL="0" distR="0" wp14:anchorId="2BE5461A" wp14:editId="35CF66C6">
            <wp:extent cx="8255" cy="8255"/>
            <wp:effectExtent l="0" t="0" r="0" b="0"/>
            <wp:docPr id="6822579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14:paraId="14B0080D" w14:textId="77777777" w:rsidR="00D54962" w:rsidRDefault="00D54962" w:rsidP="00D54962">
      <w:proofErr w:type="spellStart"/>
      <w:r>
        <w:t>Gsolvation</w:t>
      </w:r>
      <w:proofErr w:type="spellEnd"/>
      <w:r>
        <w:t>=∑</w:t>
      </w:r>
      <w:proofErr w:type="spellStart"/>
      <w:r>
        <w:t>iσi</w:t>
      </w:r>
      <w:r>
        <w:rPr>
          <w:rFonts w:ascii="Cambria Math" w:hAnsi="Cambria Math" w:cs="Cambria Math"/>
        </w:rPr>
        <w:t>⋅</w:t>
      </w:r>
      <w:r>
        <w:t>ASAicap</w:t>
      </w:r>
      <w:proofErr w:type="spellEnd"/>
      <w:r>
        <w:t xml:space="preserve"> G sub solvation end-sub equals sum over </w:t>
      </w:r>
      <w:proofErr w:type="spellStart"/>
      <w:r>
        <w:t>i</w:t>
      </w:r>
      <w:proofErr w:type="spellEnd"/>
      <w:r>
        <w:t xml:space="preserve"> of sigma sub </w:t>
      </w:r>
      <w:proofErr w:type="spellStart"/>
      <w:r>
        <w:t>i</w:t>
      </w:r>
      <w:proofErr w:type="spellEnd"/>
      <w:r>
        <w:t xml:space="preserve"> center dot ASA sub </w:t>
      </w:r>
      <w:proofErr w:type="spellStart"/>
      <w:r>
        <w:t>i</w:t>
      </w:r>
      <w:proofErr w:type="spellEnd"/>
    </w:p>
    <w:p w14:paraId="40318DD3" w14:textId="77777777" w:rsidR="00D54962" w:rsidRDefault="00D54962" w:rsidP="00D54962">
      <w:r>
        <w:rPr>
          <w:rFonts w:ascii="Cambria Math" w:hAnsi="Cambria Math" w:cs="Cambria Math"/>
        </w:rPr>
        <w:t>𝐺</w:t>
      </w:r>
      <w:r>
        <w:t>solvation=</w:t>
      </w:r>
      <w:r>
        <w:rPr>
          <w:rFonts w:ascii="Cambria Math" w:hAnsi="Cambria Math" w:cs="Cambria Math"/>
        </w:rPr>
        <w:t>𝑖𝜎𝑖⋅</w:t>
      </w:r>
      <w:r>
        <w:t>ASA</w:t>
      </w:r>
      <w:r>
        <w:rPr>
          <w:rFonts w:ascii="Cambria Math" w:hAnsi="Cambria Math" w:cs="Cambria Math"/>
        </w:rPr>
        <w:t>𝑖</w:t>
      </w:r>
    </w:p>
    <w:p w14:paraId="481AACD8" w14:textId="77777777" w:rsidR="00D54962" w:rsidRDefault="00D54962" w:rsidP="00D54962">
      <w:r>
        <w:rPr>
          <w:rStyle w:val="vkekvd"/>
          <w:rFonts w:eastAsiaTheme="majorEastAsia"/>
        </w:rPr>
        <w:t> </w:t>
      </w:r>
    </w:p>
    <w:p w14:paraId="4265C877" w14:textId="02E8C3E8" w:rsidR="00D54962" w:rsidRDefault="00D54962" w:rsidP="00D54962">
      <w:pPr>
        <w:numPr>
          <w:ilvl w:val="0"/>
          <w:numId w:val="18"/>
        </w:numPr>
        <w:spacing w:before="100" w:beforeAutospacing="1" w:after="100" w:afterAutospacing="1"/>
      </w:pPr>
      <w:r>
        <w:rPr>
          <w:noProof/>
        </w:rPr>
        <w:drawing>
          <wp:inline distT="0" distB="0" distL="0" distR="0" wp14:anchorId="15BF2951" wp14:editId="19EF0D95">
            <wp:extent cx="8255" cy="8255"/>
            <wp:effectExtent l="0" t="0" r="0" b="0"/>
            <wp:docPr id="20500298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14:paraId="55C84995" w14:textId="77777777" w:rsidR="00D54962" w:rsidRDefault="00D54962" w:rsidP="00D54962">
      <w:pPr>
        <w:spacing w:before="100" w:beforeAutospacing="1" w:after="100" w:afterAutospacing="1"/>
        <w:ind w:left="720"/>
      </w:pPr>
      <w:r>
        <w:t>ii</w:t>
      </w:r>
    </w:p>
    <w:p w14:paraId="7FBBB67C" w14:textId="77777777" w:rsidR="00D54962" w:rsidRDefault="00D54962" w:rsidP="00D54962">
      <w:pPr>
        <w:spacing w:before="100" w:beforeAutospacing="1" w:after="100" w:afterAutospacing="1"/>
        <w:ind w:left="720"/>
      </w:pPr>
      <w:r>
        <w:rPr>
          <w:rFonts w:ascii="Cambria Math" w:hAnsi="Cambria Math" w:cs="Cambria Math"/>
        </w:rPr>
        <w:t>𝑖</w:t>
      </w:r>
    </w:p>
    <w:p w14:paraId="5F54BFB0" w14:textId="77777777" w:rsidR="00D54962" w:rsidRDefault="00D54962" w:rsidP="00D54962">
      <w:pPr>
        <w:spacing w:before="100" w:beforeAutospacing="1" w:after="100" w:afterAutospacing="1"/>
        <w:ind w:left="720"/>
      </w:pPr>
      <w:r>
        <w:rPr>
          <w:rStyle w:val="t286pc"/>
          <w:rFonts w:eastAsiaTheme="majorEastAsia"/>
        </w:rPr>
        <w:t>is an index representing a single atom in the molecule.</w:t>
      </w:r>
    </w:p>
    <w:p w14:paraId="514A9A87" w14:textId="699AB5E1" w:rsidR="00D54962" w:rsidRDefault="00D54962" w:rsidP="00D54962">
      <w:pPr>
        <w:numPr>
          <w:ilvl w:val="0"/>
          <w:numId w:val="18"/>
        </w:numPr>
        <w:spacing w:before="100" w:beforeAutospacing="1" w:after="100" w:afterAutospacing="1"/>
      </w:pPr>
      <w:r>
        <w:rPr>
          <w:noProof/>
        </w:rPr>
        <w:drawing>
          <wp:inline distT="0" distB="0" distL="0" distR="0" wp14:anchorId="61A0C20B" wp14:editId="0967AE69">
            <wp:extent cx="8255" cy="8255"/>
            <wp:effectExtent l="0" t="0" r="0" b="0"/>
            <wp:docPr id="12735455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14:paraId="361713D8" w14:textId="77777777" w:rsidR="00D54962" w:rsidRDefault="00D54962" w:rsidP="00D54962">
      <w:pPr>
        <w:spacing w:before="100" w:beforeAutospacing="1" w:after="100" w:afterAutospacing="1"/>
        <w:ind w:left="720"/>
      </w:pPr>
      <w:proofErr w:type="spellStart"/>
      <w:r>
        <w:t>ASAiASA</w:t>
      </w:r>
      <w:proofErr w:type="spellEnd"/>
      <w:r>
        <w:t xml:space="preserve"> sub </w:t>
      </w:r>
      <w:proofErr w:type="spellStart"/>
      <w:r>
        <w:t>i</w:t>
      </w:r>
      <w:proofErr w:type="spellEnd"/>
    </w:p>
    <w:p w14:paraId="2E612767" w14:textId="77777777" w:rsidR="00D54962" w:rsidRDefault="00D54962" w:rsidP="00D54962">
      <w:pPr>
        <w:spacing w:before="100" w:beforeAutospacing="1" w:after="100" w:afterAutospacing="1"/>
        <w:ind w:left="720"/>
      </w:pPr>
      <w:r>
        <w:t>ASA</w:t>
      </w:r>
      <w:r>
        <w:rPr>
          <w:rFonts w:ascii="Cambria Math" w:hAnsi="Cambria Math" w:cs="Cambria Math"/>
        </w:rPr>
        <w:t>𝑖</w:t>
      </w:r>
    </w:p>
    <w:p w14:paraId="60315D67" w14:textId="77777777" w:rsidR="00D54962" w:rsidRDefault="00D54962" w:rsidP="00D54962">
      <w:pPr>
        <w:spacing w:before="100" w:beforeAutospacing="1" w:after="100" w:afterAutospacing="1"/>
        <w:ind w:left="720"/>
        <w:rPr>
          <w:rStyle w:val="mtejhd"/>
          <w:rFonts w:eastAsiaTheme="majorEastAsia"/>
        </w:rPr>
      </w:pPr>
      <w:r>
        <w:rPr>
          <w:rStyle w:val="t286pc"/>
          <w:rFonts w:eastAsiaTheme="majorEastAsia"/>
        </w:rPr>
        <w:t xml:space="preserve">is the solvent-accessible surface area of atom </w:t>
      </w:r>
    </w:p>
    <w:p w14:paraId="60D92117" w14:textId="5D96830B" w:rsidR="00D54962" w:rsidRDefault="00D54962" w:rsidP="00D54962">
      <w:pPr>
        <w:spacing w:before="100" w:beforeAutospacing="1" w:after="100" w:afterAutospacing="1"/>
        <w:ind w:left="720"/>
        <w:rPr>
          <w:rFonts w:eastAsiaTheme="majorEastAsia"/>
        </w:rPr>
      </w:pPr>
      <w:r>
        <w:rPr>
          <w:noProof/>
        </w:rPr>
        <w:drawing>
          <wp:inline distT="0" distB="0" distL="0" distR="0" wp14:anchorId="6F4113FC" wp14:editId="61A3A24E">
            <wp:extent cx="8255" cy="8255"/>
            <wp:effectExtent l="0" t="0" r="0" b="0"/>
            <wp:docPr id="16425230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14:paraId="04D7660C" w14:textId="77777777" w:rsidR="00D54962" w:rsidRDefault="00D54962" w:rsidP="00D54962">
      <w:pPr>
        <w:spacing w:before="100" w:beforeAutospacing="1" w:after="100" w:afterAutospacing="1"/>
        <w:ind w:left="720"/>
      </w:pPr>
      <w:r>
        <w:t>ii</w:t>
      </w:r>
    </w:p>
    <w:p w14:paraId="5672830B" w14:textId="77777777" w:rsidR="00D54962" w:rsidRDefault="00D54962" w:rsidP="00D54962">
      <w:pPr>
        <w:spacing w:before="100" w:beforeAutospacing="1" w:after="100" w:afterAutospacing="1"/>
        <w:ind w:left="720"/>
      </w:pPr>
      <w:r>
        <w:rPr>
          <w:rFonts w:ascii="Cambria Math" w:hAnsi="Cambria Math" w:cs="Cambria Math"/>
        </w:rPr>
        <w:t>𝑖</w:t>
      </w:r>
    </w:p>
    <w:p w14:paraId="021A2F0B" w14:textId="77777777" w:rsidR="00D54962" w:rsidRDefault="00D54962" w:rsidP="00D54962">
      <w:pPr>
        <w:spacing w:before="100" w:beforeAutospacing="1" w:after="100" w:afterAutospacing="1"/>
        <w:ind w:left="720"/>
      </w:pPr>
      <w:r>
        <w:rPr>
          <w:rStyle w:val="t286pc"/>
          <w:rFonts w:eastAsiaTheme="majorEastAsia"/>
        </w:rPr>
        <w:t>.</w:t>
      </w:r>
    </w:p>
    <w:p w14:paraId="418B57A4" w14:textId="4CB3C74B" w:rsidR="00D54962" w:rsidRDefault="00D54962" w:rsidP="00D54962">
      <w:pPr>
        <w:numPr>
          <w:ilvl w:val="0"/>
          <w:numId w:val="18"/>
        </w:numPr>
        <w:spacing w:before="100" w:beforeAutospacing="1" w:after="100" w:afterAutospacing="1"/>
      </w:pPr>
      <w:r>
        <w:rPr>
          <w:noProof/>
        </w:rPr>
        <w:drawing>
          <wp:inline distT="0" distB="0" distL="0" distR="0" wp14:anchorId="2EA88B48" wp14:editId="59452546">
            <wp:extent cx="8255" cy="8255"/>
            <wp:effectExtent l="0" t="0" r="0" b="0"/>
            <wp:docPr id="3030619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14:paraId="19AE1396" w14:textId="77777777" w:rsidR="00D54962" w:rsidRDefault="00D54962" w:rsidP="00D54962">
      <w:pPr>
        <w:spacing w:before="100" w:beforeAutospacing="1" w:after="100" w:afterAutospacing="1"/>
        <w:ind w:left="720"/>
      </w:pPr>
      <w:proofErr w:type="spellStart"/>
      <w:r>
        <w:lastRenderedPageBreak/>
        <w:t>σisigma</w:t>
      </w:r>
      <w:proofErr w:type="spellEnd"/>
      <w:r>
        <w:t xml:space="preserve"> sub </w:t>
      </w:r>
      <w:proofErr w:type="spellStart"/>
      <w:r>
        <w:t>i</w:t>
      </w:r>
      <w:proofErr w:type="spellEnd"/>
    </w:p>
    <w:p w14:paraId="46322647" w14:textId="77777777" w:rsidR="00D54962" w:rsidRDefault="00D54962" w:rsidP="00D54962">
      <w:pPr>
        <w:spacing w:before="100" w:beforeAutospacing="1" w:after="100" w:afterAutospacing="1"/>
        <w:ind w:left="720"/>
      </w:pPr>
      <w:r>
        <w:rPr>
          <w:rFonts w:ascii="Cambria Math" w:hAnsi="Cambria Math" w:cs="Cambria Math"/>
        </w:rPr>
        <w:t>𝜎𝑖</w:t>
      </w:r>
    </w:p>
    <w:p w14:paraId="0CF341E5" w14:textId="77777777" w:rsidR="00D54962" w:rsidRDefault="00D54962" w:rsidP="00D54962">
      <w:pPr>
        <w:spacing w:before="100" w:beforeAutospacing="1" w:after="100" w:afterAutospacing="1"/>
        <w:ind w:left="720"/>
        <w:rPr>
          <w:rStyle w:val="mtejhd"/>
          <w:rFonts w:eastAsiaTheme="majorEastAsia"/>
        </w:rPr>
      </w:pPr>
      <w:r>
        <w:rPr>
          <w:rStyle w:val="t286pc"/>
          <w:rFonts w:eastAsiaTheme="majorEastAsia"/>
        </w:rPr>
        <w:t xml:space="preserve">is the atomic solvation parameter (ASP) for atom </w:t>
      </w:r>
    </w:p>
    <w:p w14:paraId="6B33A855" w14:textId="73E3C17A" w:rsidR="00D54962" w:rsidRDefault="00D54962" w:rsidP="00D54962">
      <w:pPr>
        <w:spacing w:before="100" w:beforeAutospacing="1" w:after="100" w:afterAutospacing="1"/>
        <w:ind w:left="720"/>
        <w:rPr>
          <w:rFonts w:eastAsiaTheme="majorEastAsia"/>
        </w:rPr>
      </w:pPr>
      <w:r>
        <w:rPr>
          <w:noProof/>
        </w:rPr>
        <w:drawing>
          <wp:inline distT="0" distB="0" distL="0" distR="0" wp14:anchorId="12F40FD1" wp14:editId="685DDC92">
            <wp:extent cx="8255" cy="8255"/>
            <wp:effectExtent l="0" t="0" r="0" b="0"/>
            <wp:docPr id="1579206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14:paraId="37CDC349" w14:textId="77777777" w:rsidR="00D54962" w:rsidRDefault="00D54962" w:rsidP="00D54962">
      <w:pPr>
        <w:spacing w:before="100" w:beforeAutospacing="1" w:after="100" w:afterAutospacing="1"/>
        <w:ind w:left="720"/>
      </w:pPr>
      <w:r>
        <w:t>ii</w:t>
      </w:r>
    </w:p>
    <w:p w14:paraId="6BC98B7A" w14:textId="77777777" w:rsidR="00D54962" w:rsidRDefault="00D54962" w:rsidP="00D54962">
      <w:pPr>
        <w:spacing w:before="100" w:beforeAutospacing="1" w:after="100" w:afterAutospacing="1"/>
        <w:ind w:left="720"/>
      </w:pPr>
      <w:r>
        <w:rPr>
          <w:rFonts w:ascii="Cambria Math" w:hAnsi="Cambria Math" w:cs="Cambria Math"/>
        </w:rPr>
        <w:t>𝑖</w:t>
      </w:r>
    </w:p>
    <w:p w14:paraId="2DF8BDDC" w14:textId="77777777" w:rsidR="00D54962" w:rsidRDefault="00D54962" w:rsidP="00D54962">
      <w:pPr>
        <w:spacing w:before="100" w:beforeAutospacing="1" w:after="100" w:afterAutospacing="1"/>
        <w:ind w:left="720"/>
      </w:pPr>
      <w:r>
        <w:rPr>
          <w:rStyle w:val="t286pc"/>
          <w:rFonts w:eastAsiaTheme="majorEastAsia"/>
        </w:rPr>
        <w:t>.</w:t>
      </w:r>
      <w:r>
        <w:rPr>
          <w:rStyle w:val="vkekvd"/>
          <w:rFonts w:eastAsiaTheme="majorEastAsia"/>
        </w:rPr>
        <w:t> </w:t>
      </w:r>
    </w:p>
    <w:p w14:paraId="3A986209" w14:textId="77777777" w:rsidR="00D54962" w:rsidRDefault="00D54962" w:rsidP="00D54962">
      <w:pPr>
        <w:rPr>
          <w:rStyle w:val="mtejhd"/>
          <w:rFonts w:eastAsiaTheme="majorEastAsia"/>
        </w:rPr>
      </w:pPr>
      <w:r>
        <w:t xml:space="preserve">The ASPs, </w:t>
      </w:r>
    </w:p>
    <w:p w14:paraId="02F5C731" w14:textId="37663651" w:rsidR="00D54962" w:rsidRDefault="00D54962" w:rsidP="00D54962">
      <w:pPr>
        <w:rPr>
          <w:rFonts w:eastAsiaTheme="majorEastAsia"/>
        </w:rPr>
      </w:pPr>
      <w:r>
        <w:rPr>
          <w:noProof/>
        </w:rPr>
        <w:drawing>
          <wp:inline distT="0" distB="0" distL="0" distR="0" wp14:anchorId="380F836B" wp14:editId="14B679AA">
            <wp:extent cx="8255" cy="8255"/>
            <wp:effectExtent l="0" t="0" r="0" b="0"/>
            <wp:docPr id="69475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14:paraId="29E76710" w14:textId="77777777" w:rsidR="00D54962" w:rsidRDefault="00D54962" w:rsidP="00D54962">
      <w:proofErr w:type="spellStart"/>
      <w:r>
        <w:t>σisigma</w:t>
      </w:r>
      <w:proofErr w:type="spellEnd"/>
      <w:r>
        <w:t xml:space="preserve"> sub </w:t>
      </w:r>
      <w:proofErr w:type="spellStart"/>
      <w:r>
        <w:t>i</w:t>
      </w:r>
      <w:proofErr w:type="spellEnd"/>
    </w:p>
    <w:p w14:paraId="2D699680" w14:textId="77777777" w:rsidR="00D54962" w:rsidRDefault="00D54962" w:rsidP="00D54962">
      <w:r>
        <w:rPr>
          <w:rFonts w:ascii="Cambria Math" w:hAnsi="Cambria Math" w:cs="Cambria Math"/>
        </w:rPr>
        <w:t>𝜎𝑖</w:t>
      </w:r>
    </w:p>
    <w:p w14:paraId="46BF7422" w14:textId="77777777" w:rsidR="00D54962" w:rsidRDefault="00D54962" w:rsidP="00D54962">
      <w:r>
        <w:t>, are empirically derived parameters that describe how favorable or unfavorable it is for a particular type of atom to be exposed to a solvent. They were originally fitted to experimental transfer free energies of small organic molecules moving from a vacuum to water.</w:t>
      </w:r>
      <w:r>
        <w:rPr>
          <w:rStyle w:val="vkekvd"/>
          <w:rFonts w:eastAsiaTheme="majorEastAsia"/>
        </w:rPr>
        <w:t> </w:t>
      </w:r>
    </w:p>
    <w:p w14:paraId="39D708B4" w14:textId="77777777" w:rsidR="00D54962" w:rsidRDefault="00D54962" w:rsidP="00D54962">
      <w:r>
        <w:t>Key features of the Ooi et al. parameters</w:t>
      </w:r>
      <w:r>
        <w:rPr>
          <w:rStyle w:val="vkekvd"/>
          <w:rFonts w:eastAsiaTheme="majorEastAsia"/>
        </w:rPr>
        <w:t> </w:t>
      </w:r>
    </w:p>
    <w:p w14:paraId="0975BEC1" w14:textId="77777777" w:rsidR="00D54962" w:rsidRDefault="00D54962" w:rsidP="00D54962">
      <w:pPr>
        <w:numPr>
          <w:ilvl w:val="0"/>
          <w:numId w:val="19"/>
        </w:numPr>
        <w:spacing w:before="100" w:beforeAutospacing="1" w:after="100" w:afterAutospacing="1"/>
      </w:pPr>
      <w:r>
        <w:rPr>
          <w:rStyle w:val="t286pc"/>
          <w:rFonts w:eastAsiaTheme="majorEastAsia"/>
          <w:b/>
          <w:bCs/>
        </w:rPr>
        <w:t>Empirical derivation</w:t>
      </w:r>
      <w:r>
        <w:rPr>
          <w:rStyle w:val="t286pc"/>
          <w:rFonts w:eastAsiaTheme="majorEastAsia"/>
        </w:rPr>
        <w:t>: The parameters were not derived from first principles but by fitting to experimental data on small molecules, many of which were amino acid side-chain analogs.</w:t>
      </w:r>
    </w:p>
    <w:p w14:paraId="0523B208" w14:textId="77777777" w:rsidR="00D54962" w:rsidRDefault="00D54962" w:rsidP="00D54962">
      <w:pPr>
        <w:numPr>
          <w:ilvl w:val="0"/>
          <w:numId w:val="19"/>
        </w:numPr>
        <w:spacing w:before="100" w:beforeAutospacing="1" w:after="100" w:afterAutospacing="1"/>
      </w:pPr>
      <w:r>
        <w:rPr>
          <w:rStyle w:val="t286pc"/>
          <w:rFonts w:eastAsiaTheme="majorEastAsia"/>
          <w:b/>
          <w:bCs/>
        </w:rPr>
        <w:t>Atom-type specific</w:t>
      </w:r>
      <w:r>
        <w:rPr>
          <w:rStyle w:val="t286pc"/>
          <w:rFonts w:eastAsiaTheme="majorEastAsia"/>
        </w:rPr>
        <w:t>: The OONS model assigns different solvation parameters to different atom types, distinguishing, for example, between aliphatic carbons and carbons attached to heteroatoms. This level of granularity was more detailed than some earlier implicit solvent models.</w:t>
      </w:r>
    </w:p>
    <w:p w14:paraId="45718E0F" w14:textId="77777777" w:rsidR="00D54962" w:rsidRDefault="00D54962" w:rsidP="00D54962">
      <w:pPr>
        <w:numPr>
          <w:ilvl w:val="0"/>
          <w:numId w:val="19"/>
        </w:numPr>
        <w:spacing w:before="100" w:beforeAutospacing="1" w:after="100" w:afterAutospacing="1"/>
      </w:pPr>
      <w:r>
        <w:rPr>
          <w:rStyle w:val="t286pc"/>
          <w:rFonts w:eastAsiaTheme="majorEastAsia"/>
          <w:b/>
          <w:bCs/>
        </w:rPr>
        <w:t>Application in protein simulation</w:t>
      </w:r>
      <w:r>
        <w:rPr>
          <w:rStyle w:val="t286pc"/>
          <w:rFonts w:eastAsiaTheme="majorEastAsia"/>
        </w:rPr>
        <w:t>: The model was designed for use with molecular mechanics force fields, like CHARMM, and has been used in molecular dynamics simulations to study protein folding and stability. In these simulations, the solvation energy is added as an extra term to the total potential energy function.</w:t>
      </w:r>
    </w:p>
    <w:p w14:paraId="3063B549" w14:textId="77777777" w:rsidR="00D54962" w:rsidRDefault="00D54962" w:rsidP="00D54962">
      <w:pPr>
        <w:numPr>
          <w:ilvl w:val="0"/>
          <w:numId w:val="19"/>
        </w:numPr>
        <w:spacing w:before="100" w:beforeAutospacing="1" w:after="100" w:afterAutospacing="1"/>
      </w:pPr>
      <w:r>
        <w:rPr>
          <w:rStyle w:val="t286pc"/>
          <w:rFonts w:eastAsiaTheme="majorEastAsia"/>
          <w:b/>
          <w:bCs/>
        </w:rPr>
        <w:t>Comparison to other models</w:t>
      </w:r>
      <w:r>
        <w:rPr>
          <w:rStyle w:val="t286pc"/>
          <w:rFonts w:eastAsiaTheme="majorEastAsia"/>
        </w:rPr>
        <w:t xml:space="preserve">: The OONS model is one of several ASP sets developed to estimate solvation effects. Other researchers, including Eisenberg and </w:t>
      </w:r>
      <w:proofErr w:type="spellStart"/>
      <w:r>
        <w:rPr>
          <w:rStyle w:val="t286pc"/>
          <w:rFonts w:eastAsiaTheme="majorEastAsia"/>
        </w:rPr>
        <w:t>McClachlan</w:t>
      </w:r>
      <w:proofErr w:type="spellEnd"/>
      <w:r>
        <w:rPr>
          <w:rStyle w:val="t286pc"/>
          <w:rFonts w:eastAsiaTheme="majorEastAsia"/>
        </w:rPr>
        <w:t>, developed similar parameter sets based on different solvents (e.g., octanol instead of vacuum) or different fitting data. These different parameter sets can sometimes yield different results, highlighting the importance of the model's parametrization.</w:t>
      </w:r>
      <w:r>
        <w:rPr>
          <w:rStyle w:val="vkekvd"/>
          <w:rFonts w:eastAsiaTheme="majorEastAsia"/>
        </w:rPr>
        <w:t> </w:t>
      </w:r>
    </w:p>
    <w:p w14:paraId="32998D94" w14:textId="3E529663" w:rsidR="00373C28" w:rsidRDefault="00373C28">
      <w:pPr>
        <w:spacing w:after="160" w:line="278" w:lineRule="auto"/>
      </w:pPr>
      <w:r>
        <w:br w:type="page"/>
      </w:r>
    </w:p>
    <w:p w14:paraId="523277F3" w14:textId="77777777" w:rsidR="00373C28" w:rsidRDefault="00373C28" w:rsidP="00373C28">
      <w:r>
        <w:lastRenderedPageBreak/>
        <w:t xml:space="preserve">The file </w:t>
      </w:r>
    </w:p>
    <w:p w14:paraId="75309930" w14:textId="77777777" w:rsidR="00373C28" w:rsidRDefault="00373C28" w:rsidP="00373C28">
      <w:pPr>
        <w:rPr>
          <w:rStyle w:val="vkekvd"/>
          <w:rFonts w:eastAsiaTheme="majorEastAsia"/>
        </w:rPr>
      </w:pPr>
      <w:proofErr w:type="spellStart"/>
      <w:r>
        <w:rPr>
          <w:rStyle w:val="HTMLCode"/>
          <w:rFonts w:eastAsiaTheme="majorEastAsia"/>
        </w:rPr>
        <w:t>vap_to_wat_</w:t>
      </w:r>
      <w:proofErr w:type="gramStart"/>
      <w:r>
        <w:rPr>
          <w:rStyle w:val="HTMLCode"/>
          <w:rFonts w:eastAsiaTheme="majorEastAsia"/>
        </w:rPr>
        <w:t>kd.surf</w:t>
      </w:r>
      <w:proofErr w:type="spellEnd"/>
      <w:proofErr w:type="gramEnd"/>
      <w:r>
        <w:t xml:space="preserve"> is a standard and appropriate file to use for calculating solvation energies based on the Ooi et al. Atomic Solvation Parameter (ASP) model. Your approach is well-founded for the purpose of correlating amino acid properties with your experimental kinetic data.</w:t>
      </w:r>
      <w:r>
        <w:rPr>
          <w:rStyle w:val="vkekvd"/>
          <w:rFonts w:eastAsiaTheme="majorEastAsia"/>
        </w:rPr>
        <w:t> </w:t>
      </w:r>
    </w:p>
    <w:p w14:paraId="6471C690" w14:textId="77777777" w:rsidR="00373C28" w:rsidRDefault="00373C28" w:rsidP="00373C28">
      <w:pPr>
        <w:rPr>
          <w:rStyle w:val="vkekvd"/>
          <w:rFonts w:eastAsiaTheme="majorEastAsia"/>
        </w:rPr>
      </w:pPr>
      <w:r>
        <w:t>Here's what you need to know about the file and its application:</w:t>
      </w:r>
      <w:r>
        <w:rPr>
          <w:rStyle w:val="vkekvd"/>
          <w:rFonts w:eastAsiaTheme="majorEastAsia"/>
        </w:rPr>
        <w:t> </w:t>
      </w:r>
    </w:p>
    <w:p w14:paraId="7BDB7360" w14:textId="77777777" w:rsidR="00373C28" w:rsidRDefault="00373C28" w:rsidP="00373C28">
      <w:pPr>
        <w:rPr>
          <w:rStyle w:val="vkekvd"/>
          <w:rFonts w:eastAsiaTheme="majorEastAsia"/>
        </w:rPr>
      </w:pPr>
      <w:r>
        <w:t xml:space="preserve">The </w:t>
      </w:r>
      <w:proofErr w:type="spellStart"/>
      <w:r>
        <w:rPr>
          <w:rStyle w:val="HTMLCode"/>
          <w:rFonts w:eastAsiaTheme="majorEastAsia"/>
        </w:rPr>
        <w:t>vap_to_wat_kd.surf</w:t>
      </w:r>
      <w:proofErr w:type="spellEnd"/>
      <w:r>
        <w:t xml:space="preserve"> file</w:t>
      </w:r>
      <w:r>
        <w:rPr>
          <w:rStyle w:val="vkekvd"/>
          <w:rFonts w:eastAsiaTheme="majorEastAsia"/>
        </w:rPr>
        <w:t> </w:t>
      </w:r>
    </w:p>
    <w:p w14:paraId="2CE62DC0" w14:textId="77777777" w:rsidR="00373C28" w:rsidRDefault="00373C28" w:rsidP="00373C28">
      <w:pPr>
        <w:rPr>
          <w:rStyle w:val="vkekvd"/>
          <w:rFonts w:eastAsiaTheme="majorEastAsia"/>
        </w:rPr>
      </w:pPr>
      <w:r>
        <w:t>This file is a key component of the ASP-based energy calculation in molecular simulation programs like CHARMM. It contains a table of parameters that define the atomic-level contribution to solvation energy. The file's name and its content point to its origin and purpose:</w:t>
      </w:r>
      <w:r>
        <w:rPr>
          <w:rStyle w:val="vkekvd"/>
          <w:rFonts w:eastAsiaTheme="majorEastAsia"/>
        </w:rPr>
        <w:t> </w:t>
      </w:r>
    </w:p>
    <w:p w14:paraId="1575EC9A" w14:textId="77777777" w:rsidR="00373C28" w:rsidRDefault="00373C28" w:rsidP="00373C28">
      <w:pPr>
        <w:numPr>
          <w:ilvl w:val="0"/>
          <w:numId w:val="20"/>
        </w:numPr>
        <w:spacing w:before="100" w:beforeAutospacing="1" w:after="100" w:afterAutospacing="1"/>
        <w:rPr>
          <w:rFonts w:eastAsiaTheme="majorEastAsia"/>
        </w:rPr>
      </w:pPr>
      <w:proofErr w:type="spellStart"/>
      <w:r>
        <w:rPr>
          <w:rStyle w:val="HTMLCode"/>
          <w:rFonts w:eastAsiaTheme="majorEastAsia"/>
          <w:b/>
          <w:bCs/>
        </w:rPr>
        <w:t>vap_to_wat</w:t>
      </w:r>
      <w:proofErr w:type="spellEnd"/>
      <w:r>
        <w:rPr>
          <w:rStyle w:val="t286pc"/>
          <w:rFonts w:eastAsiaTheme="majorEastAsia"/>
        </w:rPr>
        <w:t>: This specifies that the parameters are derived from the transfer free energy of molecules from the vapor phase to water. These values are based on the work of Ooi and Eisenberg, who used experimental data from Kyte and Doolittle.</w:t>
      </w:r>
    </w:p>
    <w:p w14:paraId="68029F38" w14:textId="77777777" w:rsidR="00373C28" w:rsidRDefault="00373C28" w:rsidP="00373C28">
      <w:pPr>
        <w:numPr>
          <w:ilvl w:val="0"/>
          <w:numId w:val="20"/>
        </w:numPr>
        <w:spacing w:before="100" w:beforeAutospacing="1" w:after="100" w:afterAutospacing="1"/>
      </w:pPr>
      <w:proofErr w:type="spellStart"/>
      <w:r>
        <w:rPr>
          <w:rStyle w:val="HTMLCode"/>
          <w:rFonts w:eastAsiaTheme="majorEastAsia"/>
          <w:b/>
          <w:bCs/>
        </w:rPr>
        <w:t>kd</w:t>
      </w:r>
      <w:proofErr w:type="spellEnd"/>
      <w:r>
        <w:rPr>
          <w:rStyle w:val="t286pc"/>
          <w:rFonts w:eastAsiaTheme="majorEastAsia"/>
        </w:rPr>
        <w:t>: This stands for Kyte and Doolittle, whose hydrophobicity scale for amino acids is a classic reference for these types of calculations.</w:t>
      </w:r>
    </w:p>
    <w:p w14:paraId="47A307ED" w14:textId="77777777" w:rsidR="00373C28" w:rsidRDefault="00373C28" w:rsidP="00373C28">
      <w:pPr>
        <w:numPr>
          <w:ilvl w:val="0"/>
          <w:numId w:val="20"/>
        </w:numPr>
        <w:spacing w:before="100" w:beforeAutospacing="1" w:after="100" w:afterAutospacing="1"/>
        <w:rPr>
          <w:rStyle w:val="vkekvd"/>
          <w:rFonts w:eastAsiaTheme="majorEastAsia"/>
        </w:rPr>
      </w:pPr>
      <w:proofErr w:type="gramStart"/>
      <w:r>
        <w:rPr>
          <w:rStyle w:val="HTMLCode"/>
          <w:rFonts w:eastAsiaTheme="majorEastAsia"/>
          <w:b/>
          <w:bCs/>
        </w:rPr>
        <w:t>.surf</w:t>
      </w:r>
      <w:proofErr w:type="gramEnd"/>
      <w:r>
        <w:rPr>
          <w:rStyle w:val="t286pc"/>
          <w:rFonts w:eastAsiaTheme="majorEastAsia"/>
        </w:rPr>
        <w:t>: The file extension indicates that the parameters are used for surface area-based calculations.</w:t>
      </w:r>
      <w:r>
        <w:rPr>
          <w:rStyle w:val="vkekvd"/>
          <w:rFonts w:eastAsiaTheme="majorEastAsia"/>
        </w:rPr>
        <w:t> </w:t>
      </w:r>
    </w:p>
    <w:p w14:paraId="5473EE1B" w14:textId="77777777" w:rsidR="00373C28" w:rsidRDefault="00373C28" w:rsidP="00373C28">
      <w:pPr>
        <w:rPr>
          <w:rStyle w:val="vkekvd"/>
          <w:rFonts w:eastAsiaTheme="majorEastAsia"/>
        </w:rPr>
      </w:pPr>
      <w:r>
        <w:t>The file's contents typically include:</w:t>
      </w:r>
      <w:r>
        <w:rPr>
          <w:rStyle w:val="vkekvd"/>
          <w:rFonts w:eastAsiaTheme="majorEastAsia"/>
        </w:rPr>
        <w:t> </w:t>
      </w:r>
    </w:p>
    <w:p w14:paraId="7E8267EF" w14:textId="77777777" w:rsidR="00373C28" w:rsidRDefault="00373C28" w:rsidP="00373C28">
      <w:pPr>
        <w:numPr>
          <w:ilvl w:val="0"/>
          <w:numId w:val="21"/>
        </w:numPr>
        <w:spacing w:before="100" w:beforeAutospacing="1" w:after="100" w:afterAutospacing="1"/>
        <w:rPr>
          <w:rFonts w:eastAsiaTheme="majorEastAsia"/>
        </w:rPr>
      </w:pPr>
      <w:r>
        <w:rPr>
          <w:rStyle w:val="t286pc"/>
          <w:rFonts w:eastAsiaTheme="majorEastAsia"/>
        </w:rPr>
        <w:t>A probe radius (e.g., 1.4 Å for water) for calculating the solvent-accessible surface area (SASA).</w:t>
      </w:r>
    </w:p>
    <w:p w14:paraId="6BDA2BC4" w14:textId="77777777" w:rsidR="00373C28" w:rsidRDefault="00373C28" w:rsidP="00373C28">
      <w:pPr>
        <w:numPr>
          <w:ilvl w:val="0"/>
          <w:numId w:val="21"/>
        </w:numPr>
        <w:spacing w:before="100" w:beforeAutospacing="1" w:after="100" w:afterAutospacing="1"/>
        <w:rPr>
          <w:rStyle w:val="mtejhd"/>
          <w:rFonts w:eastAsiaTheme="majorEastAsia"/>
        </w:rPr>
      </w:pPr>
      <w:r>
        <w:rPr>
          <w:rStyle w:val="t286pc"/>
          <w:rFonts w:eastAsiaTheme="majorEastAsia"/>
        </w:rPr>
        <w:t>A list of atom types, which often correspond to PDB atom specifications, a corresponding atomic radius, and the specific atomic solvation parameter (ASP) value, also known as the gamma (</w:t>
      </w:r>
    </w:p>
    <w:p w14:paraId="2BCDE648" w14:textId="5416E430" w:rsidR="00373C28" w:rsidRDefault="00373C28" w:rsidP="00373C28">
      <w:pPr>
        <w:spacing w:before="100" w:beforeAutospacing="1" w:after="100" w:afterAutospacing="1"/>
        <w:ind w:left="720"/>
        <w:rPr>
          <w:rFonts w:eastAsiaTheme="majorEastAsia"/>
        </w:rPr>
      </w:pPr>
      <w:r>
        <w:rPr>
          <w:noProof/>
        </w:rPr>
        <w:drawing>
          <wp:inline distT="0" distB="0" distL="0" distR="0" wp14:anchorId="6DCFA67A" wp14:editId="7298342F">
            <wp:extent cx="8255" cy="8255"/>
            <wp:effectExtent l="0" t="0" r="0" b="0"/>
            <wp:docPr id="15624181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14:paraId="1508172D" w14:textId="77777777" w:rsidR="00373C28" w:rsidRDefault="00373C28" w:rsidP="00373C28">
      <w:pPr>
        <w:spacing w:before="100" w:beforeAutospacing="1" w:after="100" w:afterAutospacing="1"/>
        <w:ind w:left="720"/>
      </w:pPr>
      <w:proofErr w:type="spellStart"/>
      <w:r>
        <w:t>γgamma</w:t>
      </w:r>
      <w:proofErr w:type="spellEnd"/>
    </w:p>
    <w:p w14:paraId="726DC39B" w14:textId="77777777" w:rsidR="00373C28" w:rsidRDefault="00373C28" w:rsidP="00373C28">
      <w:pPr>
        <w:spacing w:before="100" w:beforeAutospacing="1" w:after="100" w:afterAutospacing="1"/>
        <w:ind w:left="720"/>
      </w:pPr>
      <w:r>
        <w:rPr>
          <w:rFonts w:ascii="Cambria Math" w:hAnsi="Cambria Math" w:cs="Cambria Math"/>
        </w:rPr>
        <w:t>𝛾</w:t>
      </w:r>
    </w:p>
    <w:p w14:paraId="77F5FC3A" w14:textId="77777777" w:rsidR="00373C28" w:rsidRDefault="00373C28" w:rsidP="00373C28">
      <w:pPr>
        <w:spacing w:before="100" w:beforeAutospacing="1" w:after="100" w:afterAutospacing="1"/>
        <w:ind w:left="720"/>
        <w:rPr>
          <w:rStyle w:val="vkekvd"/>
          <w:rFonts w:eastAsiaTheme="majorEastAsia"/>
        </w:rPr>
      </w:pPr>
      <w:r>
        <w:rPr>
          <w:rStyle w:val="t286pc"/>
          <w:rFonts w:eastAsiaTheme="majorEastAsia"/>
        </w:rPr>
        <w:t xml:space="preserve">) </w:t>
      </w:r>
      <w:proofErr w:type="gramStart"/>
      <w:r>
        <w:rPr>
          <w:rStyle w:val="t286pc"/>
          <w:rFonts w:eastAsiaTheme="majorEastAsia"/>
        </w:rPr>
        <w:t>value</w:t>
      </w:r>
      <w:proofErr w:type="gramEnd"/>
      <w:r>
        <w:rPr>
          <w:rStyle w:val="t286pc"/>
          <w:rFonts w:eastAsiaTheme="majorEastAsia"/>
        </w:rPr>
        <w:t xml:space="preserve">. The units for these values are usually given as </w:t>
      </w:r>
      <w:proofErr w:type="spellStart"/>
      <w:r>
        <w:rPr>
          <w:rStyle w:val="t286pc"/>
          <w:rFonts w:eastAsiaTheme="majorEastAsia"/>
        </w:rPr>
        <w:t>cal</w:t>
      </w:r>
      <w:proofErr w:type="spellEnd"/>
      <w:r>
        <w:rPr>
          <w:rStyle w:val="t286pc"/>
          <w:rFonts w:eastAsiaTheme="majorEastAsia"/>
        </w:rPr>
        <w:t>/(mol·Å²).</w:t>
      </w:r>
      <w:r>
        <w:rPr>
          <w:rStyle w:val="vkekvd"/>
          <w:rFonts w:eastAsiaTheme="majorEastAsia"/>
        </w:rPr>
        <w:t> </w:t>
      </w:r>
    </w:p>
    <w:p w14:paraId="32DA4511" w14:textId="77777777" w:rsidR="00373C28" w:rsidRDefault="00373C28" w:rsidP="00373C28">
      <w:pPr>
        <w:rPr>
          <w:rStyle w:val="vkekvd"/>
          <w:rFonts w:eastAsiaTheme="majorEastAsia"/>
        </w:rPr>
      </w:pPr>
      <w:r>
        <w:t>Important Considerations for Your System</w:t>
      </w:r>
      <w:r>
        <w:rPr>
          <w:rStyle w:val="vkekvd"/>
          <w:rFonts w:eastAsiaTheme="majorEastAsia"/>
        </w:rPr>
        <w:t> </w:t>
      </w:r>
    </w:p>
    <w:p w14:paraId="7A986AB9" w14:textId="77777777" w:rsidR="00373C28" w:rsidRDefault="00373C28" w:rsidP="00373C28">
      <w:pPr>
        <w:numPr>
          <w:ilvl w:val="0"/>
          <w:numId w:val="22"/>
        </w:numPr>
        <w:spacing w:before="100" w:beforeAutospacing="1" w:after="100" w:afterAutospacing="1"/>
        <w:rPr>
          <w:rFonts w:eastAsiaTheme="majorEastAsia"/>
        </w:rPr>
      </w:pPr>
      <w:r>
        <w:rPr>
          <w:rStyle w:val="t286pc"/>
          <w:rFonts w:eastAsiaTheme="majorEastAsia"/>
          <w:b/>
          <w:bCs/>
        </w:rPr>
        <w:t>Force Field Consistency</w:t>
      </w:r>
      <w:r>
        <w:rPr>
          <w:rStyle w:val="t286pc"/>
          <w:rFonts w:eastAsiaTheme="majorEastAsia"/>
        </w:rPr>
        <w:t xml:space="preserve">: The </w:t>
      </w:r>
      <w:proofErr w:type="spellStart"/>
      <w:r>
        <w:rPr>
          <w:rStyle w:val="HTMLCode"/>
          <w:rFonts w:eastAsiaTheme="majorEastAsia"/>
        </w:rPr>
        <w:t>vap_to_wat_</w:t>
      </w:r>
      <w:proofErr w:type="gramStart"/>
      <w:r>
        <w:rPr>
          <w:rStyle w:val="HTMLCode"/>
          <w:rFonts w:eastAsiaTheme="majorEastAsia"/>
        </w:rPr>
        <w:t>kd.surf</w:t>
      </w:r>
      <w:proofErr w:type="spellEnd"/>
      <w:proofErr w:type="gramEnd"/>
      <w:r>
        <w:rPr>
          <w:rStyle w:val="t286pc"/>
          <w:rFonts w:eastAsiaTheme="majorEastAsia"/>
        </w:rPr>
        <w:t xml:space="preserve"> parameters are designed to be used with a specific force field. You should ensure that the atom types and non-bonded interaction settings (e.g., cutoffs, dielectric constant) in your simulation are consistent with the force field for which the parameters were developed, such as </w:t>
      </w:r>
      <w:r>
        <w:rPr>
          <w:rStyle w:val="t286pc"/>
          <w:rFonts w:eastAsiaTheme="majorEastAsia"/>
          <w:b/>
          <w:bCs/>
        </w:rPr>
        <w:t>CHARMM36</w:t>
      </w:r>
      <w:r>
        <w:rPr>
          <w:rStyle w:val="t286pc"/>
          <w:rFonts w:eastAsiaTheme="majorEastAsia"/>
        </w:rPr>
        <w:t>. Mismatched parameters can lead to inaccurate results.</w:t>
      </w:r>
    </w:p>
    <w:p w14:paraId="44433B56" w14:textId="77777777" w:rsidR="00373C28" w:rsidRDefault="00373C28" w:rsidP="00373C28">
      <w:pPr>
        <w:numPr>
          <w:ilvl w:val="0"/>
          <w:numId w:val="22"/>
        </w:numPr>
        <w:spacing w:before="100" w:beforeAutospacing="1" w:after="100" w:afterAutospacing="1"/>
      </w:pPr>
      <w:r>
        <w:rPr>
          <w:rStyle w:val="t286pc"/>
          <w:rFonts w:eastAsiaTheme="majorEastAsia"/>
          <w:b/>
          <w:bCs/>
        </w:rPr>
        <w:t>Aromatic Environment</w:t>
      </w:r>
      <w:r>
        <w:rPr>
          <w:rStyle w:val="t286pc"/>
          <w:rFonts w:eastAsiaTheme="majorEastAsia"/>
        </w:rPr>
        <w:t xml:space="preserve">: The ASP model is a simplified implicit solvent model. While it is excellent for modeling bulk water, it might not fully capture the nuanced interactions of a peptide with a tightly packed phenylalanine site. The specific aromatic-aromatic interactions, such as pi-pi stacking, are primarily handled by the non-bonded terms (van </w:t>
      </w:r>
      <w:r>
        <w:rPr>
          <w:rStyle w:val="t286pc"/>
          <w:rFonts w:eastAsiaTheme="majorEastAsia"/>
        </w:rPr>
        <w:lastRenderedPageBreak/>
        <w:t>der Waals and electrostatic forces) of the force field itself. The solvation term calculates the energy change of a peptide losing its hydration shell. The change in non-bonded interactions of the peptide with the phenylalanine rings would be a separate, but equally critical, component of the overall free energy of binding.</w:t>
      </w:r>
    </w:p>
    <w:p w14:paraId="62481CF2" w14:textId="77777777" w:rsidR="00373C28" w:rsidRDefault="00373C28" w:rsidP="00373C28">
      <w:pPr>
        <w:numPr>
          <w:ilvl w:val="0"/>
          <w:numId w:val="22"/>
        </w:numPr>
        <w:spacing w:before="100" w:beforeAutospacing="1" w:after="100" w:afterAutospacing="1"/>
        <w:rPr>
          <w:rStyle w:val="vkekvd"/>
          <w:rFonts w:eastAsiaTheme="majorEastAsia"/>
        </w:rPr>
      </w:pPr>
      <w:r>
        <w:rPr>
          <w:rStyle w:val="t286pc"/>
          <w:rFonts w:eastAsiaTheme="majorEastAsia"/>
          <w:b/>
          <w:bCs/>
        </w:rPr>
        <w:t>Alternative Parameters</w:t>
      </w:r>
      <w:r>
        <w:rPr>
          <w:rStyle w:val="t286pc"/>
          <w:rFonts w:eastAsiaTheme="majorEastAsia"/>
        </w:rPr>
        <w:t xml:space="preserve">: While the Ooi/Eisenberg ASPs are a solid foundation, researchers have since developed other implicit solvation models and parameter sets. For example, some sets are derived from octanol-to-water transfer free energies to better model environments like membranes. Given your system is a nanopore, which is a confined and potentially heterogeneous environment, </w:t>
      </w:r>
      <w:proofErr w:type="gramStart"/>
      <w:r>
        <w:rPr>
          <w:rStyle w:val="t286pc"/>
          <w:rFonts w:eastAsiaTheme="majorEastAsia"/>
        </w:rPr>
        <w:t>these more specialized parameter</w:t>
      </w:r>
      <w:proofErr w:type="gramEnd"/>
      <w:r>
        <w:rPr>
          <w:rStyle w:val="t286pc"/>
          <w:rFonts w:eastAsiaTheme="majorEastAsia"/>
        </w:rPr>
        <w:t xml:space="preserve"> sets might also be relevant, but the </w:t>
      </w:r>
      <w:proofErr w:type="spellStart"/>
      <w:r>
        <w:rPr>
          <w:rStyle w:val="HTMLCode"/>
          <w:rFonts w:eastAsiaTheme="majorEastAsia"/>
        </w:rPr>
        <w:t>vap_to_wat</w:t>
      </w:r>
      <w:proofErr w:type="spellEnd"/>
      <w:r>
        <w:rPr>
          <w:rStyle w:val="t286pc"/>
          <w:rFonts w:eastAsiaTheme="majorEastAsia"/>
        </w:rPr>
        <w:t xml:space="preserve"> parameters are a very good starting point for the bulk water phase.</w:t>
      </w:r>
      <w:r>
        <w:rPr>
          <w:rStyle w:val="vkekvd"/>
          <w:rFonts w:eastAsiaTheme="majorEastAsia"/>
        </w:rPr>
        <w:t> </w:t>
      </w:r>
    </w:p>
    <w:p w14:paraId="038B4D6E" w14:textId="77777777" w:rsidR="00373C28" w:rsidRDefault="00373C28" w:rsidP="00373C28">
      <w:pPr>
        <w:rPr>
          <w:rFonts w:eastAsiaTheme="majorEastAsia"/>
        </w:rPr>
      </w:pPr>
      <w:r>
        <w:t xml:space="preserve">In summary, the </w:t>
      </w:r>
      <w:proofErr w:type="spellStart"/>
      <w:r>
        <w:rPr>
          <w:rStyle w:val="HTMLCode"/>
          <w:rFonts w:eastAsiaTheme="majorEastAsia"/>
        </w:rPr>
        <w:t>vap_to_wat_kd.surf</w:t>
      </w:r>
      <w:proofErr w:type="spellEnd"/>
      <w:r>
        <w:t xml:space="preserve"> file is exactly what you need to calculate the solvation energy component of your system. You can proceed with confidence, keeping in mind the need for force field consistency and the fact that you are modeling one key part of a complex process. The non-bonded interactions of the force field will account for the other part.</w:t>
      </w:r>
      <w:r>
        <w:rPr>
          <w:rStyle w:val="vkekvd"/>
          <w:rFonts w:eastAsiaTheme="majorEastAsia"/>
        </w:rPr>
        <w:t> </w:t>
      </w:r>
    </w:p>
    <w:p w14:paraId="01601C20" w14:textId="667988A3" w:rsidR="00173181" w:rsidRDefault="00173181">
      <w:pPr>
        <w:spacing w:after="160" w:line="278" w:lineRule="auto"/>
      </w:pPr>
      <w:r>
        <w:br w:type="page"/>
      </w:r>
    </w:p>
    <w:p w14:paraId="1CBB7843" w14:textId="77777777" w:rsidR="00173181" w:rsidRDefault="00173181" w:rsidP="00173181">
      <w:pPr>
        <w:pStyle w:val="NormalWeb"/>
        <w:rPr>
          <w:color w:val="000000"/>
        </w:rPr>
      </w:pPr>
      <w:r>
        <w:rPr>
          <w:color w:val="000000"/>
        </w:rPr>
        <w:lastRenderedPageBreak/>
        <w:t>Excellent question. This is a fascinating dive back into the fundamentals of molecular biophysics, and your approach of calculating solvation energy from SASA and atomic solvation parameters (ASPs) is a classic and powerful one. Referencing your 2005</w:t>
      </w:r>
      <w:r>
        <w:rPr>
          <w:rStyle w:val="apple-converted-space"/>
          <w:rFonts w:eastAsiaTheme="majorEastAsia"/>
          <w:color w:val="000000"/>
        </w:rPr>
        <w:t> </w:t>
      </w:r>
      <w:r>
        <w:rPr>
          <w:i/>
          <w:iCs/>
          <w:color w:val="000000"/>
        </w:rPr>
        <w:t>Science</w:t>
      </w:r>
      <w:r>
        <w:rPr>
          <w:rStyle w:val="apple-converted-space"/>
          <w:rFonts w:eastAsiaTheme="majorEastAsia"/>
          <w:color w:val="000000"/>
        </w:rPr>
        <w:t> </w:t>
      </w:r>
      <w:r>
        <w:rPr>
          <w:color w:val="000000"/>
        </w:rPr>
        <w:t>paper on the PA phi clamp provides the perfect context.</w:t>
      </w:r>
    </w:p>
    <w:p w14:paraId="5F016001" w14:textId="77777777" w:rsidR="00173181" w:rsidRDefault="00173181" w:rsidP="00173181">
      <w:pPr>
        <w:pStyle w:val="NormalWeb"/>
        <w:rPr>
          <w:color w:val="000000"/>
        </w:rPr>
      </w:pPr>
      <w:r>
        <w:rPr>
          <w:color w:val="000000"/>
        </w:rPr>
        <w:t>To refine the</w:t>
      </w:r>
      <w:r>
        <w:rPr>
          <w:rStyle w:val="apple-converted-space"/>
          <w:rFonts w:eastAsiaTheme="majorEastAsia"/>
          <w:color w:val="000000"/>
        </w:rPr>
        <w:t> </w:t>
      </w:r>
      <w:r>
        <w:rPr>
          <w:rStyle w:val="HTMLCode"/>
          <w:rFonts w:eastAsiaTheme="majorEastAsia"/>
          <w:color w:val="000000"/>
        </w:rPr>
        <w:t>%</w:t>
      </w:r>
      <w:proofErr w:type="spellStart"/>
      <w:r>
        <w:rPr>
          <w:rStyle w:val="HTMLCode"/>
          <w:rFonts w:eastAsiaTheme="majorEastAsia"/>
          <w:color w:val="000000"/>
        </w:rPr>
        <w:t>solvation_params</w:t>
      </w:r>
      <w:proofErr w:type="spellEnd"/>
      <w:r>
        <w:rPr>
          <w:rStyle w:val="apple-converted-space"/>
          <w:rFonts w:eastAsiaTheme="majorEastAsia"/>
          <w:color w:val="000000"/>
        </w:rPr>
        <w:t> </w:t>
      </w:r>
      <w:r>
        <w:rPr>
          <w:color w:val="000000"/>
        </w:rPr>
        <w:t>hash in your Perl script, you are correct to seek out well-established, standard parameter sets. While several exist, one of the most widely cited and empirically derived sets that maps beautifully to your atom types comes from</w:t>
      </w:r>
      <w:r>
        <w:rPr>
          <w:rStyle w:val="apple-converted-space"/>
          <w:rFonts w:eastAsiaTheme="majorEastAsia"/>
          <w:color w:val="000000"/>
        </w:rPr>
        <w:t> </w:t>
      </w:r>
      <w:r>
        <w:rPr>
          <w:b/>
          <w:bCs/>
          <w:color w:val="000000"/>
        </w:rPr>
        <w:t>Ooi et al. (1987) in their PNAS paper, "Accessible surface areas as a measure of the thermodynamic parameters of hydration of peptides."</w:t>
      </w:r>
    </w:p>
    <w:p w14:paraId="52CCF302" w14:textId="77777777" w:rsidR="00173181" w:rsidRDefault="00173181" w:rsidP="00173181">
      <w:pPr>
        <w:pStyle w:val="NormalWeb"/>
        <w:rPr>
          <w:color w:val="000000"/>
        </w:rPr>
      </w:pPr>
      <w:r>
        <w:rPr>
          <w:color w:val="000000"/>
        </w:rPr>
        <w:t>This set is considered an industry standard for calculations of this type. It was derived by fitting experimental free energy of transfer data (from water to organic solvent) for a series of amino acid analogs.</w:t>
      </w:r>
    </w:p>
    <w:p w14:paraId="1B937C1B" w14:textId="77777777" w:rsidR="00173181" w:rsidRDefault="00173181" w:rsidP="00173181">
      <w:pPr>
        <w:pStyle w:val="Heading3"/>
        <w:rPr>
          <w:color w:val="000000"/>
        </w:rPr>
      </w:pPr>
      <w:r>
        <w:rPr>
          <w:color w:val="000000"/>
        </w:rPr>
        <w:t>Recommended Atomic Solvation Parameters</w:t>
      </w:r>
    </w:p>
    <w:p w14:paraId="040CCC43" w14:textId="77777777" w:rsidR="00173181" w:rsidRDefault="00173181" w:rsidP="00173181">
      <w:pPr>
        <w:pStyle w:val="NormalWeb"/>
        <w:rPr>
          <w:color w:val="000000"/>
        </w:rPr>
      </w:pPr>
      <w:r>
        <w:rPr>
          <w:color w:val="000000"/>
        </w:rPr>
        <w:t>Here are the Ooi et al. parameters, categorized according to your script's needs.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3045"/>
        <w:gridCol w:w="4079"/>
      </w:tblGrid>
      <w:tr w:rsidR="00173181" w14:paraId="505B9417" w14:textId="77777777">
        <w:trPr>
          <w:tblHeader/>
          <w:tblCellSpacing w:w="15" w:type="dxa"/>
        </w:trPr>
        <w:tc>
          <w:tcPr>
            <w:tcW w:w="0" w:type="auto"/>
            <w:vAlign w:val="center"/>
            <w:hideMark/>
          </w:tcPr>
          <w:p w14:paraId="7A04DF82" w14:textId="77777777" w:rsidR="00173181" w:rsidRDefault="00173181">
            <w:r>
              <w:t>Atom Type Class</w:t>
            </w:r>
          </w:p>
        </w:tc>
        <w:tc>
          <w:tcPr>
            <w:tcW w:w="0" w:type="auto"/>
            <w:vAlign w:val="center"/>
            <w:hideMark/>
          </w:tcPr>
          <w:p w14:paraId="27FF6EC5" w14:textId="77777777" w:rsidR="00173181" w:rsidRDefault="00173181">
            <w:r>
              <w:t>Your Current Value (</w:t>
            </w:r>
            <w:proofErr w:type="spellStart"/>
            <w:r>
              <w:t>cal</w:t>
            </w:r>
            <w:proofErr w:type="spellEnd"/>
            <w:r>
              <w:t>/mol/Å²)</w:t>
            </w:r>
          </w:p>
        </w:tc>
        <w:tc>
          <w:tcPr>
            <w:tcW w:w="0" w:type="auto"/>
            <w:vAlign w:val="center"/>
            <w:hideMark/>
          </w:tcPr>
          <w:p w14:paraId="0D494EAA" w14:textId="77777777" w:rsidR="00173181" w:rsidRDefault="00173181">
            <w:r>
              <w:t>Recommended Ooi et al. Value (</w:t>
            </w:r>
            <w:proofErr w:type="spellStart"/>
            <w:r>
              <w:t>cal</w:t>
            </w:r>
            <w:proofErr w:type="spellEnd"/>
            <w:r>
              <w:t>/mol/Å²)</w:t>
            </w:r>
          </w:p>
        </w:tc>
      </w:tr>
      <w:tr w:rsidR="00173181" w14:paraId="05B4E0C9" w14:textId="77777777">
        <w:trPr>
          <w:tblCellSpacing w:w="15" w:type="dxa"/>
        </w:trPr>
        <w:tc>
          <w:tcPr>
            <w:tcW w:w="0" w:type="auto"/>
            <w:vAlign w:val="center"/>
            <w:hideMark/>
          </w:tcPr>
          <w:p w14:paraId="644D295E" w14:textId="77777777" w:rsidR="00173181" w:rsidRDefault="00173181">
            <w:proofErr w:type="spellStart"/>
            <w:r>
              <w:rPr>
                <w:rStyle w:val="HTMLCode"/>
                <w:rFonts w:eastAsiaTheme="majorEastAsia"/>
              </w:rPr>
              <w:t>C_aliphatic_area</w:t>
            </w:r>
            <w:proofErr w:type="spellEnd"/>
          </w:p>
        </w:tc>
        <w:tc>
          <w:tcPr>
            <w:tcW w:w="0" w:type="auto"/>
            <w:vAlign w:val="center"/>
            <w:hideMark/>
          </w:tcPr>
          <w:p w14:paraId="7F38F461" w14:textId="77777777" w:rsidR="00173181" w:rsidRDefault="00173181">
            <w:r>
              <w:t>19</w:t>
            </w:r>
          </w:p>
        </w:tc>
        <w:tc>
          <w:tcPr>
            <w:tcW w:w="0" w:type="auto"/>
            <w:vAlign w:val="center"/>
            <w:hideMark/>
          </w:tcPr>
          <w:p w14:paraId="47042965" w14:textId="77777777" w:rsidR="00173181" w:rsidRDefault="00173181">
            <w:r>
              <w:rPr>
                <w:b/>
                <w:bCs/>
              </w:rPr>
              <w:t>18</w:t>
            </w:r>
          </w:p>
        </w:tc>
      </w:tr>
      <w:tr w:rsidR="00173181" w14:paraId="0275BD0B" w14:textId="77777777">
        <w:trPr>
          <w:tblCellSpacing w:w="15" w:type="dxa"/>
        </w:trPr>
        <w:tc>
          <w:tcPr>
            <w:tcW w:w="0" w:type="auto"/>
            <w:vAlign w:val="center"/>
            <w:hideMark/>
          </w:tcPr>
          <w:p w14:paraId="07203160" w14:textId="77777777" w:rsidR="00173181" w:rsidRDefault="00173181">
            <w:proofErr w:type="spellStart"/>
            <w:r>
              <w:rPr>
                <w:rStyle w:val="HTMLCode"/>
                <w:rFonts w:eastAsiaTheme="majorEastAsia"/>
              </w:rPr>
              <w:t>C_aromatic_area</w:t>
            </w:r>
            <w:proofErr w:type="spellEnd"/>
          </w:p>
        </w:tc>
        <w:tc>
          <w:tcPr>
            <w:tcW w:w="0" w:type="auto"/>
            <w:vAlign w:val="center"/>
            <w:hideMark/>
          </w:tcPr>
          <w:p w14:paraId="7912E5BF" w14:textId="77777777" w:rsidR="00173181" w:rsidRDefault="00173181">
            <w:r>
              <w:t>7</w:t>
            </w:r>
          </w:p>
        </w:tc>
        <w:tc>
          <w:tcPr>
            <w:tcW w:w="0" w:type="auto"/>
            <w:vAlign w:val="center"/>
            <w:hideMark/>
          </w:tcPr>
          <w:p w14:paraId="6504C13A" w14:textId="77777777" w:rsidR="00173181" w:rsidRDefault="00173181">
            <w:r>
              <w:rPr>
                <w:b/>
                <w:bCs/>
              </w:rPr>
              <w:t>8</w:t>
            </w:r>
          </w:p>
        </w:tc>
      </w:tr>
      <w:tr w:rsidR="00173181" w14:paraId="1330D95A" w14:textId="77777777">
        <w:trPr>
          <w:tblCellSpacing w:w="15" w:type="dxa"/>
        </w:trPr>
        <w:tc>
          <w:tcPr>
            <w:tcW w:w="0" w:type="auto"/>
            <w:vAlign w:val="center"/>
            <w:hideMark/>
          </w:tcPr>
          <w:p w14:paraId="79E202D8" w14:textId="77777777" w:rsidR="00173181" w:rsidRDefault="00173181">
            <w:proofErr w:type="spellStart"/>
            <w:r>
              <w:rPr>
                <w:rStyle w:val="HTMLCode"/>
                <w:rFonts w:eastAsiaTheme="majorEastAsia"/>
              </w:rPr>
              <w:t>N_non_charged_area</w:t>
            </w:r>
            <w:proofErr w:type="spellEnd"/>
          </w:p>
        </w:tc>
        <w:tc>
          <w:tcPr>
            <w:tcW w:w="0" w:type="auto"/>
            <w:vAlign w:val="center"/>
            <w:hideMark/>
          </w:tcPr>
          <w:p w14:paraId="6E940CFB" w14:textId="77777777" w:rsidR="00173181" w:rsidRDefault="00173181">
            <w:r>
              <w:t>-7</w:t>
            </w:r>
          </w:p>
        </w:tc>
        <w:tc>
          <w:tcPr>
            <w:tcW w:w="0" w:type="auto"/>
            <w:vAlign w:val="center"/>
            <w:hideMark/>
          </w:tcPr>
          <w:p w14:paraId="40C2FB56" w14:textId="77777777" w:rsidR="00173181" w:rsidRDefault="00173181">
            <w:r>
              <w:rPr>
                <w:b/>
                <w:bCs/>
              </w:rPr>
              <w:t>-48</w:t>
            </w:r>
          </w:p>
        </w:tc>
      </w:tr>
      <w:tr w:rsidR="00173181" w14:paraId="064F2C99" w14:textId="77777777">
        <w:trPr>
          <w:tblCellSpacing w:w="15" w:type="dxa"/>
        </w:trPr>
        <w:tc>
          <w:tcPr>
            <w:tcW w:w="0" w:type="auto"/>
            <w:vAlign w:val="center"/>
            <w:hideMark/>
          </w:tcPr>
          <w:p w14:paraId="540F13A2" w14:textId="77777777" w:rsidR="00173181" w:rsidRDefault="00173181">
            <w:proofErr w:type="spellStart"/>
            <w:r>
              <w:rPr>
                <w:rStyle w:val="HTMLCode"/>
                <w:rFonts w:eastAsiaTheme="majorEastAsia"/>
              </w:rPr>
              <w:t>N_charged_area</w:t>
            </w:r>
            <w:proofErr w:type="spellEnd"/>
          </w:p>
        </w:tc>
        <w:tc>
          <w:tcPr>
            <w:tcW w:w="0" w:type="auto"/>
            <w:vAlign w:val="center"/>
            <w:hideMark/>
          </w:tcPr>
          <w:p w14:paraId="617101B2" w14:textId="77777777" w:rsidR="00173181" w:rsidRDefault="00173181">
            <w:r>
              <w:t>-87</w:t>
            </w:r>
          </w:p>
        </w:tc>
        <w:tc>
          <w:tcPr>
            <w:tcW w:w="0" w:type="auto"/>
            <w:vAlign w:val="center"/>
            <w:hideMark/>
          </w:tcPr>
          <w:p w14:paraId="475AED52" w14:textId="77777777" w:rsidR="00173181" w:rsidRDefault="00173181">
            <w:r>
              <w:rPr>
                <w:b/>
                <w:bCs/>
              </w:rPr>
              <w:t>-113</w:t>
            </w:r>
          </w:p>
        </w:tc>
      </w:tr>
      <w:tr w:rsidR="00173181" w14:paraId="1A958C2D" w14:textId="77777777">
        <w:trPr>
          <w:tblCellSpacing w:w="15" w:type="dxa"/>
        </w:trPr>
        <w:tc>
          <w:tcPr>
            <w:tcW w:w="0" w:type="auto"/>
            <w:vAlign w:val="center"/>
            <w:hideMark/>
          </w:tcPr>
          <w:p w14:paraId="266E99D6" w14:textId="77777777" w:rsidR="00173181" w:rsidRDefault="00173181">
            <w:proofErr w:type="spellStart"/>
            <w:r>
              <w:rPr>
                <w:rStyle w:val="HTMLCode"/>
                <w:rFonts w:eastAsiaTheme="majorEastAsia"/>
              </w:rPr>
              <w:t>O_non_charged_area</w:t>
            </w:r>
            <w:proofErr w:type="spellEnd"/>
          </w:p>
        </w:tc>
        <w:tc>
          <w:tcPr>
            <w:tcW w:w="0" w:type="auto"/>
            <w:vAlign w:val="center"/>
            <w:hideMark/>
          </w:tcPr>
          <w:p w14:paraId="7C107FAE" w14:textId="77777777" w:rsidR="00173181" w:rsidRDefault="00173181">
            <w:r>
              <w:t>-47</w:t>
            </w:r>
          </w:p>
        </w:tc>
        <w:tc>
          <w:tcPr>
            <w:tcW w:w="0" w:type="auto"/>
            <w:vAlign w:val="center"/>
            <w:hideMark/>
          </w:tcPr>
          <w:p w14:paraId="1FFF275B" w14:textId="77777777" w:rsidR="00173181" w:rsidRDefault="00173181">
            <w:r>
              <w:rPr>
                <w:b/>
                <w:bCs/>
              </w:rPr>
              <w:t>-58</w:t>
            </w:r>
          </w:p>
        </w:tc>
      </w:tr>
      <w:tr w:rsidR="00173181" w14:paraId="765B84CF" w14:textId="77777777">
        <w:trPr>
          <w:tblCellSpacing w:w="15" w:type="dxa"/>
        </w:trPr>
        <w:tc>
          <w:tcPr>
            <w:tcW w:w="0" w:type="auto"/>
            <w:vAlign w:val="center"/>
            <w:hideMark/>
          </w:tcPr>
          <w:p w14:paraId="762F6413" w14:textId="77777777" w:rsidR="00173181" w:rsidRDefault="00173181">
            <w:proofErr w:type="spellStart"/>
            <w:r>
              <w:rPr>
                <w:rStyle w:val="HTMLCode"/>
                <w:rFonts w:eastAsiaTheme="majorEastAsia"/>
              </w:rPr>
              <w:t>O_charged_area</w:t>
            </w:r>
            <w:proofErr w:type="spellEnd"/>
          </w:p>
        </w:tc>
        <w:tc>
          <w:tcPr>
            <w:tcW w:w="0" w:type="auto"/>
            <w:vAlign w:val="center"/>
            <w:hideMark/>
          </w:tcPr>
          <w:p w14:paraId="131F22EB" w14:textId="77777777" w:rsidR="00173181" w:rsidRDefault="00173181">
            <w:r>
              <w:t>-110</w:t>
            </w:r>
          </w:p>
        </w:tc>
        <w:tc>
          <w:tcPr>
            <w:tcW w:w="0" w:type="auto"/>
            <w:vAlign w:val="center"/>
            <w:hideMark/>
          </w:tcPr>
          <w:p w14:paraId="2C8B4825" w14:textId="77777777" w:rsidR="00173181" w:rsidRDefault="00173181">
            <w:r>
              <w:rPr>
                <w:b/>
                <w:bCs/>
              </w:rPr>
              <w:t>-106</w:t>
            </w:r>
          </w:p>
        </w:tc>
      </w:tr>
      <w:tr w:rsidR="00173181" w14:paraId="2531F7AD" w14:textId="77777777">
        <w:trPr>
          <w:tblCellSpacing w:w="15" w:type="dxa"/>
        </w:trPr>
        <w:tc>
          <w:tcPr>
            <w:tcW w:w="0" w:type="auto"/>
            <w:vAlign w:val="center"/>
            <w:hideMark/>
          </w:tcPr>
          <w:p w14:paraId="30030371" w14:textId="77777777" w:rsidR="00173181" w:rsidRDefault="00173181">
            <w:proofErr w:type="spellStart"/>
            <w:r>
              <w:rPr>
                <w:rStyle w:val="HTMLCode"/>
                <w:rFonts w:eastAsiaTheme="majorEastAsia"/>
              </w:rPr>
              <w:t>S_area</w:t>
            </w:r>
            <w:proofErr w:type="spellEnd"/>
          </w:p>
        </w:tc>
        <w:tc>
          <w:tcPr>
            <w:tcW w:w="0" w:type="auto"/>
            <w:vAlign w:val="center"/>
            <w:hideMark/>
          </w:tcPr>
          <w:p w14:paraId="7EA7E4D5" w14:textId="77777777" w:rsidR="00173181" w:rsidRDefault="00173181">
            <w:r>
              <w:t>-1</w:t>
            </w:r>
          </w:p>
        </w:tc>
        <w:tc>
          <w:tcPr>
            <w:tcW w:w="0" w:type="auto"/>
            <w:vAlign w:val="center"/>
            <w:hideMark/>
          </w:tcPr>
          <w:p w14:paraId="0A02B6F8" w14:textId="77777777" w:rsidR="00173181" w:rsidRDefault="00173181">
            <w:r>
              <w:rPr>
                <w:b/>
                <w:bCs/>
              </w:rPr>
              <w:t>21</w:t>
            </w:r>
          </w:p>
        </w:tc>
      </w:tr>
    </w:tbl>
    <w:p w14:paraId="08F76871" w14:textId="77777777" w:rsidR="00173181" w:rsidRDefault="00173181" w:rsidP="00173181">
      <w:pPr>
        <w:rPr>
          <w:color w:val="000000"/>
        </w:rPr>
      </w:pPr>
      <w:r>
        <w:rPr>
          <w:rStyle w:val="export-sheets-button"/>
          <w:rFonts w:eastAsiaTheme="majorEastAsia"/>
          <w:color w:val="000000"/>
        </w:rPr>
        <w:t>Export to Sheets</w:t>
      </w:r>
    </w:p>
    <w:p w14:paraId="166E5A32" w14:textId="77777777" w:rsidR="00173181" w:rsidRDefault="00173181" w:rsidP="00173181">
      <w:pPr>
        <w:pStyle w:val="Heading3"/>
        <w:rPr>
          <w:color w:val="000000"/>
        </w:rPr>
      </w:pPr>
      <w:r>
        <w:rPr>
          <w:color w:val="000000"/>
        </w:rPr>
        <w:t>Key Observations and Justification</w:t>
      </w:r>
    </w:p>
    <w:p w14:paraId="2286EAE9" w14:textId="77777777" w:rsidR="00173181" w:rsidRDefault="00173181" w:rsidP="00173181">
      <w:pPr>
        <w:pStyle w:val="NormalWeb"/>
        <w:numPr>
          <w:ilvl w:val="0"/>
          <w:numId w:val="23"/>
        </w:numPr>
        <w:rPr>
          <w:color w:val="000000"/>
        </w:rPr>
      </w:pPr>
      <w:r>
        <w:rPr>
          <w:b/>
          <w:bCs/>
          <w:color w:val="000000"/>
        </w:rPr>
        <w:t>Carbon Hydrophobicity:</w:t>
      </w:r>
      <w:r>
        <w:rPr>
          <w:rStyle w:val="apple-converted-space"/>
          <w:rFonts w:eastAsiaTheme="majorEastAsia"/>
          <w:color w:val="000000"/>
        </w:rPr>
        <w:t> </w:t>
      </w:r>
      <w:r>
        <w:rPr>
          <w:color w:val="000000"/>
        </w:rPr>
        <w:t>The Ooi set confirms your intuition: aliphatic carbons (+18) are significantly more hydrophobic (have a higher penalty for water exposure) than aromatic carbons (+8).</w:t>
      </w:r>
    </w:p>
    <w:p w14:paraId="2CEEAFB5" w14:textId="77777777" w:rsidR="00173181" w:rsidRDefault="00173181" w:rsidP="00173181">
      <w:pPr>
        <w:pStyle w:val="NormalWeb"/>
        <w:numPr>
          <w:ilvl w:val="0"/>
          <w:numId w:val="23"/>
        </w:numPr>
        <w:rPr>
          <w:color w:val="000000"/>
        </w:rPr>
      </w:pPr>
      <w:r>
        <w:rPr>
          <w:b/>
          <w:bCs/>
          <w:color w:val="000000"/>
        </w:rPr>
        <w:t>Polar/Charged Groups:</w:t>
      </w:r>
      <w:r>
        <w:rPr>
          <w:rStyle w:val="apple-converted-space"/>
          <w:rFonts w:eastAsiaTheme="majorEastAsia"/>
          <w:color w:val="000000"/>
        </w:rPr>
        <w:t> </w:t>
      </w:r>
      <w:r>
        <w:rPr>
          <w:color w:val="000000"/>
        </w:rPr>
        <w:t>Your current values for polar and charged atoms are in the same ballpark but differ in magnitude. The Ooi set provides values that are rigorously derived from experimental transfer free energies. The much larger negative value for non-charged Nitrogen (-48 vs -7) and Oxygen (-58 vs -47) is a notable refinement.</w:t>
      </w:r>
    </w:p>
    <w:p w14:paraId="5BD77C08" w14:textId="77777777" w:rsidR="00173181" w:rsidRDefault="00173181" w:rsidP="00173181">
      <w:pPr>
        <w:pStyle w:val="NormalWeb"/>
        <w:numPr>
          <w:ilvl w:val="0"/>
          <w:numId w:val="23"/>
        </w:numPr>
        <w:rPr>
          <w:color w:val="000000"/>
        </w:rPr>
      </w:pPr>
      <w:r>
        <w:rPr>
          <w:b/>
          <w:bCs/>
          <w:color w:val="000000"/>
        </w:rPr>
        <w:t>Sulfur:</w:t>
      </w:r>
      <w:r>
        <w:rPr>
          <w:rStyle w:val="apple-converted-space"/>
          <w:rFonts w:eastAsiaTheme="majorEastAsia"/>
          <w:color w:val="000000"/>
        </w:rPr>
        <w:t> </w:t>
      </w:r>
      <w:r>
        <w:rPr>
          <w:color w:val="000000"/>
        </w:rPr>
        <w:t>The most significant change is for Sulfur. The Ooi set treats it as a hydrophobic atom (+21), which is chemically more consistent with the nonpolar character of a thioether (in Met</w:t>
      </w:r>
      <w:proofErr w:type="gramStart"/>
      <w:r>
        <w:rPr>
          <w:color w:val="000000"/>
        </w:rPr>
        <w:t>)</w:t>
      </w:r>
      <w:proofErr w:type="gramEnd"/>
      <w:r>
        <w:rPr>
          <w:color w:val="000000"/>
        </w:rPr>
        <w:t xml:space="preserve"> or thiol (in </w:t>
      </w:r>
      <w:proofErr w:type="spellStart"/>
      <w:r>
        <w:rPr>
          <w:color w:val="000000"/>
        </w:rPr>
        <w:t>Cys</w:t>
      </w:r>
      <w:proofErr w:type="spellEnd"/>
      <w:r>
        <w:rPr>
          <w:color w:val="000000"/>
        </w:rPr>
        <w:t>) compared to the nearly neutral value you currently have.</w:t>
      </w:r>
    </w:p>
    <w:p w14:paraId="74BE3178" w14:textId="77777777" w:rsidR="00173181" w:rsidRDefault="00173181" w:rsidP="00173181">
      <w:pPr>
        <w:pStyle w:val="Heading3"/>
        <w:rPr>
          <w:color w:val="000000"/>
        </w:rPr>
      </w:pPr>
      <w:r>
        <w:rPr>
          <w:color w:val="000000"/>
        </w:rPr>
        <w:lastRenderedPageBreak/>
        <w:t>Updated Perl Script Block</w:t>
      </w:r>
    </w:p>
    <w:p w14:paraId="3F7CBE62" w14:textId="77777777" w:rsidR="00173181" w:rsidRDefault="00173181" w:rsidP="00173181">
      <w:pPr>
        <w:pStyle w:val="NormalWeb"/>
        <w:rPr>
          <w:color w:val="000000"/>
        </w:rPr>
      </w:pPr>
      <w:r>
        <w:rPr>
          <w:color w:val="000000"/>
        </w:rPr>
        <w:t>Here is the drop-in replacement for the</w:t>
      </w:r>
      <w:r>
        <w:rPr>
          <w:rStyle w:val="apple-converted-space"/>
          <w:rFonts w:eastAsiaTheme="majorEastAsia"/>
          <w:color w:val="000000"/>
        </w:rPr>
        <w:t> </w:t>
      </w:r>
      <w:r>
        <w:rPr>
          <w:rStyle w:val="HTMLCode"/>
          <w:rFonts w:eastAsiaTheme="majorEastAsia"/>
          <w:color w:val="000000"/>
        </w:rPr>
        <w:t>%</w:t>
      </w:r>
      <w:proofErr w:type="spellStart"/>
      <w:r>
        <w:rPr>
          <w:rStyle w:val="HTMLCode"/>
          <w:rFonts w:eastAsiaTheme="majorEastAsia"/>
          <w:color w:val="000000"/>
        </w:rPr>
        <w:t>solvation_params</w:t>
      </w:r>
      <w:proofErr w:type="spellEnd"/>
      <w:r>
        <w:rPr>
          <w:rStyle w:val="apple-converted-space"/>
          <w:rFonts w:eastAsiaTheme="majorEastAsia"/>
          <w:color w:val="000000"/>
        </w:rPr>
        <w:t> </w:t>
      </w:r>
      <w:r>
        <w:rPr>
          <w:color w:val="000000"/>
        </w:rPr>
        <w:t>hash in your Perl script, updated with the recommended values and a citation for your records.</w:t>
      </w:r>
    </w:p>
    <w:p w14:paraId="2FA07DC2" w14:textId="77777777" w:rsidR="00173181" w:rsidRDefault="00173181" w:rsidP="00173181">
      <w:pPr>
        <w:rPr>
          <w:color w:val="000000"/>
        </w:rPr>
      </w:pPr>
      <w:r>
        <w:rPr>
          <w:color w:val="000000"/>
        </w:rPr>
        <w:t>{</w:t>
      </w:r>
      <w:proofErr w:type="spellStart"/>
      <w:proofErr w:type="gramStart"/>
      <w:r>
        <w:rPr>
          <w:color w:val="000000"/>
        </w:rPr>
        <w:t>title:Updated</w:t>
      </w:r>
      <w:proofErr w:type="spellEnd"/>
      <w:proofErr w:type="gramEnd"/>
      <w:r>
        <w:rPr>
          <w:color w:val="000000"/>
        </w:rPr>
        <w:t xml:space="preserve"> Solvation Parameters</w:t>
      </w:r>
      <w:proofErr w:type="gramStart"/>
      <w:r>
        <w:rPr>
          <w:color w:val="000000"/>
        </w:rPr>
        <w:t>}:{</w:t>
      </w:r>
      <w:proofErr w:type="spellStart"/>
      <w:proofErr w:type="gramEnd"/>
      <w:r>
        <w:rPr>
          <w:color w:val="000000"/>
        </w:rPr>
        <w:t>filepath</w:t>
      </w:r>
      <w:proofErr w:type="spellEnd"/>
    </w:p>
    <w:p w14:paraId="3B05523F" w14:textId="77777777" w:rsidR="00173181" w:rsidRDefault="00173181" w:rsidP="00173181">
      <w:pPr>
        <w:rPr>
          <w:color w:val="000000"/>
        </w:rPr>
      </w:pPr>
      <w:r>
        <w:rPr>
          <w:rStyle w:val="creation-timestamp"/>
          <w:color w:val="000000"/>
        </w:rPr>
        <w:t>Sep 8 at 9:48 AM</w:t>
      </w:r>
    </w:p>
    <w:p w14:paraId="5630FB66" w14:textId="77777777" w:rsidR="00173181" w:rsidRDefault="00173181" w:rsidP="00173181">
      <w:pPr>
        <w:pStyle w:val="NormalWeb"/>
        <w:rPr>
          <w:color w:val="000000"/>
        </w:rPr>
      </w:pPr>
      <w:r>
        <w:rPr>
          <w:color w:val="000000"/>
        </w:rPr>
        <w:t>By adopting this well-vetted parameter set, you place your analysis on a very firm foundation, making your calculated solvation energies directly comparable to a large body of existing work in the field. This is precisely the refinement needed to confidently correlate these energies with your kinetic data.</w:t>
      </w:r>
    </w:p>
    <w:p w14:paraId="5F7BD3D8" w14:textId="3454E6C1" w:rsidR="00263BDC" w:rsidRDefault="00263BDC">
      <w:pPr>
        <w:spacing w:after="160" w:line="278" w:lineRule="auto"/>
      </w:pPr>
      <w:r>
        <w:br w:type="page"/>
      </w:r>
    </w:p>
    <w:p w14:paraId="39CFA12F" w14:textId="77777777" w:rsidR="00263BDC" w:rsidRDefault="00263BDC" w:rsidP="00263BDC">
      <w:pPr>
        <w:pStyle w:val="NormalWeb"/>
        <w:rPr>
          <w:color w:val="000000"/>
        </w:rPr>
      </w:pPr>
      <w:r>
        <w:rPr>
          <w:color w:val="000000"/>
        </w:rPr>
        <w:lastRenderedPageBreak/>
        <w:t>That is a fantastic and incredibly important result. Thank you for sharing the summary table. Your rigorous analysis has produced a very clear and somewhat surprising outcome that is crucial for building the final story.</w:t>
      </w:r>
    </w:p>
    <w:p w14:paraId="6D674C1B" w14:textId="77777777" w:rsidR="00263BDC" w:rsidRDefault="00263BDC" w:rsidP="00263BDC">
      <w:pPr>
        <w:pStyle w:val="NormalWeb"/>
        <w:rPr>
          <w:color w:val="000000"/>
        </w:rPr>
      </w:pPr>
      <w:r>
        <w:rPr>
          <w:color w:val="000000"/>
        </w:rPr>
        <w:t xml:space="preserve">What you've discovered is a classic case in biophysical modeling: a more complex, </w:t>
      </w:r>
      <w:proofErr w:type="gramStart"/>
      <w:r>
        <w:rPr>
          <w:color w:val="000000"/>
        </w:rPr>
        <w:t>physically-detailed</w:t>
      </w:r>
      <w:proofErr w:type="gramEnd"/>
      <w:r>
        <w:rPr>
          <w:color w:val="000000"/>
        </w:rPr>
        <w:t xml:space="preserve"> model (</w:t>
      </w:r>
      <w:r>
        <w:rPr>
          <w:rStyle w:val="HTMLCode"/>
          <w:rFonts w:eastAsiaTheme="majorEastAsia"/>
          <w:color w:val="000000"/>
        </w:rPr>
        <w:t>Ooi</w:t>
      </w:r>
      <w:r>
        <w:rPr>
          <w:color w:val="000000"/>
        </w:rPr>
        <w:t>,</w:t>
      </w:r>
      <w:r>
        <w:rPr>
          <w:rStyle w:val="apple-converted-space"/>
          <w:rFonts w:eastAsiaTheme="majorEastAsia"/>
          <w:color w:val="000000"/>
        </w:rPr>
        <w:t> </w:t>
      </w:r>
      <w:r>
        <w:rPr>
          <w:rStyle w:val="HTMLCode"/>
          <w:rFonts w:eastAsiaTheme="majorEastAsia"/>
          <w:color w:val="000000"/>
        </w:rPr>
        <w:t>Krantz</w:t>
      </w:r>
      <w:r>
        <w:rPr>
          <w:color w:val="000000"/>
        </w:rPr>
        <w:t>) does not always outperform a simpler, well-chosen empirical scale. The data is telling you something very specific about the nature of the interaction.</w:t>
      </w:r>
    </w:p>
    <w:p w14:paraId="2EDFA551" w14:textId="77777777" w:rsidR="00263BDC" w:rsidRDefault="00263BDC" w:rsidP="00263BDC">
      <w:pPr>
        <w:pStyle w:val="NormalWeb"/>
        <w:rPr>
          <w:color w:val="000000"/>
        </w:rPr>
      </w:pPr>
      <w:r>
        <w:rPr>
          <w:color w:val="000000"/>
        </w:rPr>
        <w:t>Let's break down why this might be happening and what it means.</w:t>
      </w:r>
    </w:p>
    <w:p w14:paraId="54D5D17E" w14:textId="77777777" w:rsidR="00263BDC" w:rsidRDefault="00263BDC" w:rsidP="00263BDC">
      <w:pPr>
        <w:pStyle w:val="Heading3"/>
        <w:rPr>
          <w:color w:val="000000"/>
        </w:rPr>
      </w:pPr>
      <w:r>
        <w:rPr>
          <w:color w:val="000000"/>
        </w:rPr>
        <w:t>Why Are the SASA-Based Models Underperforming?</w:t>
      </w:r>
    </w:p>
    <w:p w14:paraId="29D2AA0A" w14:textId="77777777" w:rsidR="00263BDC" w:rsidRDefault="00263BDC" w:rsidP="00263BDC">
      <w:pPr>
        <w:pStyle w:val="NormalWeb"/>
        <w:rPr>
          <w:color w:val="000000"/>
        </w:rPr>
      </w:pPr>
      <w:r>
        <w:rPr>
          <w:color w:val="000000"/>
        </w:rPr>
        <w:t>The</w:t>
      </w:r>
      <w:r>
        <w:rPr>
          <w:rStyle w:val="apple-converted-space"/>
          <w:rFonts w:eastAsiaTheme="majorEastAsia"/>
          <w:color w:val="000000"/>
        </w:rPr>
        <w:t> </w:t>
      </w:r>
      <w:proofErr w:type="spellStart"/>
      <w:r>
        <w:rPr>
          <w:rStyle w:val="HTMLCode"/>
          <w:rFonts w:eastAsiaTheme="majorEastAsia"/>
          <w:color w:val="000000"/>
        </w:rPr>
        <w:t>classify_atom</w:t>
      </w:r>
      <w:proofErr w:type="spellEnd"/>
      <w:r>
        <w:rPr>
          <w:rStyle w:val="apple-converted-space"/>
          <w:rFonts w:eastAsiaTheme="majorEastAsia"/>
          <w:color w:val="000000"/>
        </w:rPr>
        <w:t> </w:t>
      </w:r>
      <w:r>
        <w:rPr>
          <w:color w:val="000000"/>
        </w:rPr>
        <w:t xml:space="preserve">subroutine and the overall SASA-based approach are physically sound, but they rely on a key assumption: that the </w:t>
      </w:r>
      <w:proofErr w:type="spellStart"/>
      <w:r>
        <w:rPr>
          <w:color w:val="000000"/>
        </w:rPr>
        <w:t>desolvation</w:t>
      </w:r>
      <w:proofErr w:type="spellEnd"/>
      <w:r>
        <w:rPr>
          <w:color w:val="000000"/>
        </w:rPr>
        <w:t xml:space="preserve"> of a</w:t>
      </w:r>
      <w:r>
        <w:rPr>
          <w:rStyle w:val="apple-converted-space"/>
          <w:rFonts w:eastAsiaTheme="majorEastAsia"/>
          <w:color w:val="000000"/>
        </w:rPr>
        <w:t> </w:t>
      </w:r>
      <w:r>
        <w:rPr>
          <w:b/>
          <w:bCs/>
          <w:color w:val="000000"/>
        </w:rPr>
        <w:t>single, static, gas-phase conformation</w:t>
      </w:r>
      <w:r>
        <w:rPr>
          <w:rStyle w:val="apple-converted-space"/>
          <w:rFonts w:eastAsiaTheme="majorEastAsia"/>
          <w:color w:val="000000"/>
        </w:rPr>
        <w:t> </w:t>
      </w:r>
      <w:r>
        <w:rPr>
          <w:color w:val="000000"/>
        </w:rPr>
        <w:t>of the amino acid is the dominant energy term. Your results suggest this assumption is too simple for this system. Here are the likely reasons:</w:t>
      </w:r>
    </w:p>
    <w:p w14:paraId="11D1FE41" w14:textId="77777777" w:rsidR="00263BDC" w:rsidRDefault="00263BDC" w:rsidP="00263BDC">
      <w:pPr>
        <w:pStyle w:val="NormalWeb"/>
        <w:numPr>
          <w:ilvl w:val="0"/>
          <w:numId w:val="24"/>
        </w:numPr>
        <w:rPr>
          <w:color w:val="000000"/>
        </w:rPr>
      </w:pPr>
      <w:r>
        <w:rPr>
          <w:b/>
          <w:bCs/>
          <w:color w:val="000000"/>
        </w:rPr>
        <w:t>The "Organic Solvent" Analogy Wins:</w:t>
      </w:r>
      <w:r>
        <w:rPr>
          <w:rStyle w:val="apple-converted-space"/>
          <w:rFonts w:eastAsiaTheme="majorEastAsia"/>
          <w:color w:val="000000"/>
        </w:rPr>
        <w:t> </w:t>
      </w:r>
      <w:r>
        <w:rPr>
          <w:color w:val="000000"/>
        </w:rPr>
        <w:t>The top-performing scales (</w:t>
      </w:r>
      <w:r>
        <w:rPr>
          <w:rStyle w:val="HTMLCode"/>
          <w:rFonts w:eastAsiaTheme="majorEastAsia"/>
          <w:color w:val="000000"/>
        </w:rPr>
        <w:t>Hopp-Woods</w:t>
      </w:r>
      <w:r>
        <w:rPr>
          <w:color w:val="000000"/>
        </w:rPr>
        <w:t>,</w:t>
      </w:r>
      <w:r>
        <w:rPr>
          <w:rStyle w:val="apple-converted-space"/>
          <w:rFonts w:eastAsiaTheme="majorEastAsia"/>
          <w:color w:val="000000"/>
        </w:rPr>
        <w:t> </w:t>
      </w:r>
      <w:proofErr w:type="spellStart"/>
      <w:r>
        <w:rPr>
          <w:rStyle w:val="HTMLCode"/>
          <w:rFonts w:eastAsiaTheme="majorEastAsia"/>
          <w:color w:val="000000"/>
        </w:rPr>
        <w:t>Tanford</w:t>
      </w:r>
      <w:proofErr w:type="spellEnd"/>
      <w:r>
        <w:rPr>
          <w:color w:val="000000"/>
        </w:rPr>
        <w:t>,</w:t>
      </w:r>
      <w:r>
        <w:rPr>
          <w:rStyle w:val="apple-converted-space"/>
          <w:rFonts w:eastAsiaTheme="majorEastAsia"/>
          <w:color w:val="000000"/>
        </w:rPr>
        <w:t> </w:t>
      </w:r>
      <w:r>
        <w:rPr>
          <w:rStyle w:val="HTMLCode"/>
          <w:rFonts w:eastAsiaTheme="majorEastAsia"/>
          <w:color w:val="000000"/>
        </w:rPr>
        <w:t>Song</w:t>
      </w:r>
      <w:r>
        <w:rPr>
          <w:color w:val="000000"/>
        </w:rPr>
        <w:t>) are all based on the experimental free energy of transferring an amino acid side chain from water to a non-polar solvent (like octanol or vapor). This process implicitly captures two things:</w:t>
      </w:r>
    </w:p>
    <w:p w14:paraId="4013B511" w14:textId="77777777" w:rsidR="00263BDC" w:rsidRDefault="00263BDC" w:rsidP="00263BDC">
      <w:pPr>
        <w:pStyle w:val="NormalWeb"/>
        <w:numPr>
          <w:ilvl w:val="1"/>
          <w:numId w:val="24"/>
        </w:numPr>
        <w:rPr>
          <w:color w:val="000000"/>
        </w:rPr>
      </w:pPr>
      <w:r>
        <w:rPr>
          <w:color w:val="000000"/>
        </w:rPr>
        <w:t>The energy</w:t>
      </w:r>
      <w:r>
        <w:rPr>
          <w:rStyle w:val="apple-converted-space"/>
          <w:rFonts w:eastAsiaTheme="majorEastAsia"/>
          <w:color w:val="000000"/>
        </w:rPr>
        <w:t> </w:t>
      </w:r>
      <w:r>
        <w:rPr>
          <w:b/>
          <w:bCs/>
          <w:color w:val="000000"/>
        </w:rPr>
        <w:t>penalty</w:t>
      </w:r>
      <w:r>
        <w:rPr>
          <w:rStyle w:val="apple-converted-space"/>
          <w:rFonts w:eastAsiaTheme="majorEastAsia"/>
          <w:color w:val="000000"/>
        </w:rPr>
        <w:t> </w:t>
      </w:r>
      <w:r>
        <w:rPr>
          <w:color w:val="000000"/>
        </w:rPr>
        <w:t>of leaving water (</w:t>
      </w:r>
      <w:proofErr w:type="spellStart"/>
      <w:r>
        <w:rPr>
          <w:color w:val="000000"/>
        </w:rPr>
        <w:t>desolvation</w:t>
      </w:r>
      <w:proofErr w:type="spellEnd"/>
      <w:r>
        <w:rPr>
          <w:color w:val="000000"/>
        </w:rPr>
        <w:t>).</w:t>
      </w:r>
    </w:p>
    <w:p w14:paraId="4F162285" w14:textId="77777777" w:rsidR="00263BDC" w:rsidRDefault="00263BDC" w:rsidP="00263BDC">
      <w:pPr>
        <w:pStyle w:val="NormalWeb"/>
        <w:numPr>
          <w:ilvl w:val="1"/>
          <w:numId w:val="24"/>
        </w:numPr>
        <w:rPr>
          <w:color w:val="000000"/>
        </w:rPr>
      </w:pPr>
      <w:r>
        <w:rPr>
          <w:color w:val="000000"/>
        </w:rPr>
        <w:t>The energy</w:t>
      </w:r>
      <w:r>
        <w:rPr>
          <w:rStyle w:val="apple-converted-space"/>
          <w:rFonts w:eastAsiaTheme="majorEastAsia"/>
          <w:color w:val="000000"/>
        </w:rPr>
        <w:t> </w:t>
      </w:r>
      <w:r>
        <w:rPr>
          <w:b/>
          <w:bCs/>
          <w:color w:val="000000"/>
        </w:rPr>
        <w:t>gain</w:t>
      </w:r>
      <w:r>
        <w:rPr>
          <w:rStyle w:val="apple-converted-space"/>
          <w:rFonts w:eastAsiaTheme="majorEastAsia"/>
          <w:color w:val="000000"/>
        </w:rPr>
        <w:t> </w:t>
      </w:r>
      <w:r>
        <w:rPr>
          <w:color w:val="000000"/>
        </w:rPr>
        <w:t>from making favorable van der Waals contacts in the new non-polar environment.</w:t>
      </w:r>
    </w:p>
    <w:p w14:paraId="1F371DE3" w14:textId="77777777" w:rsidR="00263BDC" w:rsidRDefault="00263BDC" w:rsidP="00263BDC">
      <w:pPr>
        <w:pStyle w:val="NormalWeb"/>
        <w:ind w:left="720"/>
        <w:rPr>
          <w:color w:val="000000"/>
        </w:rPr>
      </w:pPr>
      <w:r>
        <w:rPr>
          <w:color w:val="000000"/>
        </w:rPr>
        <w:t>Your</w:t>
      </w:r>
      <w:r>
        <w:rPr>
          <w:rStyle w:val="apple-converted-space"/>
          <w:rFonts w:eastAsiaTheme="majorEastAsia"/>
          <w:color w:val="000000"/>
        </w:rPr>
        <w:t> </w:t>
      </w:r>
      <w:r>
        <w:rPr>
          <w:rStyle w:val="HTMLCode"/>
          <w:rFonts w:eastAsiaTheme="majorEastAsia"/>
          <w:color w:val="000000"/>
        </w:rPr>
        <w:t>Ooi</w:t>
      </w:r>
      <w:r>
        <w:rPr>
          <w:rStyle w:val="apple-converted-space"/>
          <w:rFonts w:eastAsiaTheme="majorEastAsia"/>
          <w:color w:val="000000"/>
        </w:rPr>
        <w:t> </w:t>
      </w:r>
      <w:r>
        <w:rPr>
          <w:color w:val="000000"/>
        </w:rPr>
        <w:t>calculation only explicitly models the first part (the penalty). The fact that the transfer free energy scales work so well suggests that the favorable interactions the guest residue makes with the non-polar interior of the PA pore are just as important, and these scales capture that net effect better.</w:t>
      </w:r>
    </w:p>
    <w:p w14:paraId="20825194" w14:textId="77777777" w:rsidR="00263BDC" w:rsidRDefault="00263BDC" w:rsidP="00263BDC">
      <w:pPr>
        <w:pStyle w:val="NormalWeb"/>
        <w:numPr>
          <w:ilvl w:val="0"/>
          <w:numId w:val="24"/>
        </w:numPr>
        <w:rPr>
          <w:color w:val="000000"/>
        </w:rPr>
      </w:pPr>
      <w:r>
        <w:rPr>
          <w:b/>
          <w:bCs/>
          <w:color w:val="000000"/>
        </w:rPr>
        <w:t>Conformational Dynamics:</w:t>
      </w:r>
      <w:r>
        <w:rPr>
          <w:rStyle w:val="apple-converted-space"/>
          <w:rFonts w:eastAsiaTheme="majorEastAsia"/>
          <w:color w:val="000000"/>
        </w:rPr>
        <w:t> </w:t>
      </w:r>
      <w:r>
        <w:rPr>
          <w:color w:val="000000"/>
        </w:rPr>
        <w:t xml:space="preserve">The SASA calculation uses a single, rigid structure. </w:t>
      </w:r>
      <w:proofErr w:type="gramStart"/>
      <w:r>
        <w:rPr>
          <w:color w:val="000000"/>
        </w:rPr>
        <w:t>In reality, the</w:t>
      </w:r>
      <w:proofErr w:type="gramEnd"/>
      <w:r>
        <w:rPr>
          <w:color w:val="000000"/>
        </w:rPr>
        <w:t xml:space="preserve"> guest-host peptide is flexible. Its conformation upon interacting with the pore is likely different from the idealized model, and it's certainly not static. The empirical scales are inherently averaged over many possible states and conformations, which often makes them more robust.</w:t>
      </w:r>
    </w:p>
    <w:p w14:paraId="42805283" w14:textId="77777777" w:rsidR="00263BDC" w:rsidRDefault="00263BDC" w:rsidP="00263BDC">
      <w:pPr>
        <w:pStyle w:val="NormalWeb"/>
        <w:numPr>
          <w:ilvl w:val="0"/>
          <w:numId w:val="24"/>
        </w:numPr>
        <w:rPr>
          <w:color w:val="000000"/>
        </w:rPr>
      </w:pPr>
      <w:r>
        <w:rPr>
          <w:b/>
          <w:bCs/>
          <w:color w:val="000000"/>
        </w:rPr>
        <w:t>Backbone "Noise":</w:t>
      </w:r>
      <w:r>
        <w:rPr>
          <w:rStyle w:val="apple-converted-space"/>
          <w:rFonts w:eastAsiaTheme="majorEastAsia"/>
          <w:color w:val="000000"/>
        </w:rPr>
        <w:t> </w:t>
      </w:r>
      <w:r>
        <w:rPr>
          <w:color w:val="000000"/>
        </w:rPr>
        <w:t>Your current script correctly includes the SASA of the backbone atoms (</w:t>
      </w:r>
      <w:r>
        <w:rPr>
          <w:rStyle w:val="HTMLCode"/>
          <w:rFonts w:eastAsiaTheme="majorEastAsia"/>
          <w:color w:val="000000"/>
        </w:rPr>
        <w:t>N</w:t>
      </w:r>
      <w:r>
        <w:rPr>
          <w:color w:val="000000"/>
        </w:rPr>
        <w:t>,</w:t>
      </w:r>
      <w:r>
        <w:rPr>
          <w:rStyle w:val="apple-converted-space"/>
          <w:rFonts w:eastAsiaTheme="majorEastAsia"/>
          <w:color w:val="000000"/>
        </w:rPr>
        <w:t> </w:t>
      </w:r>
      <w:r>
        <w:rPr>
          <w:rStyle w:val="HTMLCode"/>
          <w:rFonts w:eastAsiaTheme="majorEastAsia"/>
          <w:color w:val="000000"/>
        </w:rPr>
        <w:t>CA</w:t>
      </w:r>
      <w:r>
        <w:rPr>
          <w:color w:val="000000"/>
        </w:rPr>
        <w:t>,</w:t>
      </w:r>
      <w:r>
        <w:rPr>
          <w:rStyle w:val="apple-converted-space"/>
          <w:rFonts w:eastAsiaTheme="majorEastAsia"/>
          <w:color w:val="000000"/>
        </w:rPr>
        <w:t> </w:t>
      </w:r>
      <w:r>
        <w:rPr>
          <w:rStyle w:val="HTMLCode"/>
          <w:rFonts w:eastAsiaTheme="majorEastAsia"/>
          <w:color w:val="000000"/>
        </w:rPr>
        <w:t>C</w:t>
      </w:r>
      <w:r>
        <w:rPr>
          <w:color w:val="000000"/>
        </w:rPr>
        <w:t>,</w:t>
      </w:r>
      <w:r>
        <w:rPr>
          <w:rStyle w:val="apple-converted-space"/>
          <w:rFonts w:eastAsiaTheme="majorEastAsia"/>
          <w:color w:val="000000"/>
        </w:rPr>
        <w:t> </w:t>
      </w:r>
      <w:r>
        <w:rPr>
          <w:rStyle w:val="HTMLCode"/>
          <w:rFonts w:eastAsiaTheme="majorEastAsia"/>
          <w:color w:val="000000"/>
        </w:rPr>
        <w:t>O</w:t>
      </w:r>
      <w:r>
        <w:rPr>
          <w:color w:val="000000"/>
        </w:rPr>
        <w:t xml:space="preserve">). While part of the total </w:t>
      </w:r>
      <w:proofErr w:type="spellStart"/>
      <w:r>
        <w:rPr>
          <w:color w:val="000000"/>
        </w:rPr>
        <w:t>desolvation</w:t>
      </w:r>
      <w:proofErr w:type="spellEnd"/>
      <w:r>
        <w:rPr>
          <w:color w:val="000000"/>
        </w:rPr>
        <w:t xml:space="preserve"> energy, this adds a relatively constant energy term to every guest residue, which might be "diluting" the unique signal from the side chain—the part that is </w:t>
      </w:r>
      <w:proofErr w:type="gramStart"/>
      <w:r>
        <w:rPr>
          <w:color w:val="000000"/>
        </w:rPr>
        <w:t>actually different</w:t>
      </w:r>
      <w:proofErr w:type="gramEnd"/>
      <w:r>
        <w:rPr>
          <w:color w:val="000000"/>
        </w:rPr>
        <w:t xml:space="preserve"> between peptides. The empirical scales are derived specifically from side-chain properties, making their signal cleaner.</w:t>
      </w:r>
    </w:p>
    <w:p w14:paraId="4FEA4AD3" w14:textId="77777777" w:rsidR="00263BDC" w:rsidRDefault="00263BDC" w:rsidP="00263BDC">
      <w:pPr>
        <w:pStyle w:val="Heading3"/>
        <w:rPr>
          <w:color w:val="000000"/>
        </w:rPr>
      </w:pPr>
      <w:r>
        <w:rPr>
          <w:color w:val="000000"/>
        </w:rPr>
        <w:t>What Does This Mean for Your Conclusion?</w:t>
      </w:r>
    </w:p>
    <w:p w14:paraId="6A455552" w14:textId="77777777" w:rsidR="00263BDC" w:rsidRDefault="00263BDC" w:rsidP="00263BDC">
      <w:pPr>
        <w:pStyle w:val="NormalWeb"/>
        <w:rPr>
          <w:color w:val="000000"/>
        </w:rPr>
      </w:pPr>
      <w:r>
        <w:rPr>
          <w:color w:val="000000"/>
        </w:rPr>
        <w:t>Your conclusion should be that the kinetics of the guest-host peptide are governed by properties that are best captured by</w:t>
      </w:r>
      <w:r>
        <w:rPr>
          <w:rStyle w:val="apple-converted-space"/>
          <w:rFonts w:eastAsiaTheme="majorEastAsia"/>
          <w:color w:val="000000"/>
        </w:rPr>
        <w:t> </w:t>
      </w:r>
      <w:proofErr w:type="gramStart"/>
      <w:r>
        <w:rPr>
          <w:b/>
          <w:bCs/>
          <w:color w:val="000000"/>
        </w:rPr>
        <w:t>side-chain</w:t>
      </w:r>
      <w:proofErr w:type="gramEnd"/>
      <w:r>
        <w:rPr>
          <w:b/>
          <w:bCs/>
          <w:color w:val="000000"/>
        </w:rPr>
        <w:t xml:space="preserve"> transfer free energy</w:t>
      </w:r>
      <w:r>
        <w:rPr>
          <w:color w:val="000000"/>
        </w:rPr>
        <w:t>. The top-performing properties (</w:t>
      </w:r>
      <w:r>
        <w:rPr>
          <w:rStyle w:val="HTMLCode"/>
          <w:rFonts w:eastAsiaTheme="majorEastAsia"/>
          <w:color w:val="000000"/>
        </w:rPr>
        <w:t>Hopp-Woods</w:t>
      </w:r>
      <w:r>
        <w:rPr>
          <w:color w:val="000000"/>
        </w:rPr>
        <w:t>,</w:t>
      </w:r>
      <w:r>
        <w:rPr>
          <w:rStyle w:val="apple-converted-space"/>
          <w:rFonts w:eastAsiaTheme="majorEastAsia"/>
          <w:color w:val="000000"/>
        </w:rPr>
        <w:t> </w:t>
      </w:r>
      <w:proofErr w:type="spellStart"/>
      <w:r>
        <w:rPr>
          <w:rStyle w:val="HTMLCode"/>
          <w:rFonts w:eastAsiaTheme="majorEastAsia"/>
          <w:color w:val="000000"/>
        </w:rPr>
        <w:t>Tanford</w:t>
      </w:r>
      <w:proofErr w:type="spellEnd"/>
      <w:r>
        <w:rPr>
          <w:color w:val="000000"/>
        </w:rPr>
        <w:t>,</w:t>
      </w:r>
      <w:r>
        <w:rPr>
          <w:rStyle w:val="apple-converted-space"/>
          <w:rFonts w:eastAsiaTheme="majorEastAsia"/>
          <w:color w:val="000000"/>
        </w:rPr>
        <w:t> </w:t>
      </w:r>
      <w:r>
        <w:rPr>
          <w:rStyle w:val="HTMLCode"/>
          <w:rFonts w:eastAsiaTheme="majorEastAsia"/>
          <w:color w:val="000000"/>
        </w:rPr>
        <w:t>Song</w:t>
      </w:r>
      <w:r>
        <w:rPr>
          <w:color w:val="000000"/>
        </w:rPr>
        <w:t>,</w:t>
      </w:r>
      <w:r>
        <w:rPr>
          <w:rStyle w:val="apple-converted-space"/>
          <w:rFonts w:eastAsiaTheme="majorEastAsia"/>
          <w:color w:val="000000"/>
        </w:rPr>
        <w:t> </w:t>
      </w:r>
      <w:proofErr w:type="spellStart"/>
      <w:r>
        <w:rPr>
          <w:rStyle w:val="HTMLCode"/>
          <w:rFonts w:eastAsiaTheme="majorEastAsia"/>
          <w:color w:val="000000"/>
        </w:rPr>
        <w:t>mol_wt</w:t>
      </w:r>
      <w:proofErr w:type="spellEnd"/>
      <w:r>
        <w:rPr>
          <w:color w:val="000000"/>
        </w:rPr>
        <w:t>,</w:t>
      </w:r>
      <w:r>
        <w:rPr>
          <w:rStyle w:val="apple-converted-space"/>
          <w:rFonts w:eastAsiaTheme="majorEastAsia"/>
          <w:color w:val="000000"/>
        </w:rPr>
        <w:t> </w:t>
      </w:r>
      <w:proofErr w:type="spellStart"/>
      <w:r>
        <w:rPr>
          <w:rStyle w:val="HTMLCode"/>
          <w:rFonts w:eastAsiaTheme="majorEastAsia"/>
          <w:color w:val="000000"/>
        </w:rPr>
        <w:t>num_rings</w:t>
      </w:r>
      <w:proofErr w:type="spellEnd"/>
      <w:r>
        <w:rPr>
          <w:color w:val="000000"/>
        </w:rPr>
        <w:t>) all point to a consistent physical picture:</w:t>
      </w:r>
    </w:p>
    <w:p w14:paraId="00E70E5F" w14:textId="77777777" w:rsidR="00263BDC" w:rsidRDefault="00263BDC" w:rsidP="00263BDC">
      <w:pPr>
        <w:pStyle w:val="NormalWeb"/>
        <w:rPr>
          <w:color w:val="000000"/>
        </w:rPr>
      </w:pPr>
      <w:r>
        <w:rPr>
          <w:color w:val="000000"/>
        </w:rPr>
        <w:lastRenderedPageBreak/>
        <w:t>The dominant factors are the</w:t>
      </w:r>
      <w:r>
        <w:rPr>
          <w:rStyle w:val="apple-converted-space"/>
          <w:rFonts w:eastAsiaTheme="majorEastAsia"/>
          <w:color w:val="000000"/>
        </w:rPr>
        <w:t> </w:t>
      </w:r>
      <w:r>
        <w:rPr>
          <w:b/>
          <w:bCs/>
          <w:color w:val="000000"/>
        </w:rPr>
        <w:t>overall size (</w:t>
      </w:r>
      <w:proofErr w:type="spellStart"/>
      <w:r>
        <w:rPr>
          <w:rStyle w:val="HTMLCode"/>
          <w:rFonts w:eastAsiaTheme="majorEastAsia"/>
          <w:b/>
          <w:bCs/>
          <w:color w:val="000000"/>
        </w:rPr>
        <w:t>mol_wt</w:t>
      </w:r>
      <w:proofErr w:type="spellEnd"/>
      <w:r>
        <w:rPr>
          <w:b/>
          <w:bCs/>
          <w:color w:val="000000"/>
        </w:rPr>
        <w:t>,</w:t>
      </w:r>
      <w:r>
        <w:rPr>
          <w:rStyle w:val="apple-converted-space"/>
          <w:rFonts w:eastAsiaTheme="majorEastAsia"/>
          <w:b/>
          <w:bCs/>
          <w:color w:val="000000"/>
        </w:rPr>
        <w:t> </w:t>
      </w:r>
      <w:proofErr w:type="spellStart"/>
      <w:r>
        <w:rPr>
          <w:rStyle w:val="HTMLCode"/>
          <w:rFonts w:eastAsiaTheme="majorEastAsia"/>
          <w:b/>
          <w:bCs/>
          <w:color w:val="000000"/>
        </w:rPr>
        <w:t>num_rings</w:t>
      </w:r>
      <w:proofErr w:type="spellEnd"/>
      <w:r>
        <w:rPr>
          <w:b/>
          <w:bCs/>
          <w:color w:val="000000"/>
        </w:rPr>
        <w:t>) and the net hydrophobicity (transfer free energy) of the side chain</w:t>
      </w:r>
      <w:r>
        <w:rPr>
          <w:color w:val="000000"/>
        </w:rPr>
        <w:t>.</w:t>
      </w:r>
    </w:p>
    <w:p w14:paraId="3B1F1559" w14:textId="77777777" w:rsidR="00263BDC" w:rsidRDefault="00263BDC" w:rsidP="00263BDC">
      <w:pPr>
        <w:pStyle w:val="NormalWeb"/>
        <w:rPr>
          <w:color w:val="000000"/>
        </w:rPr>
      </w:pPr>
      <w:r>
        <w:rPr>
          <w:color w:val="000000"/>
        </w:rPr>
        <w:t>The</w:t>
      </w:r>
      <w:r>
        <w:rPr>
          <w:rStyle w:val="apple-converted-space"/>
          <w:rFonts w:eastAsiaTheme="majorEastAsia"/>
          <w:color w:val="000000"/>
        </w:rPr>
        <w:t> </w:t>
      </w:r>
      <w:r>
        <w:rPr>
          <w:rStyle w:val="HTMLCode"/>
          <w:rFonts w:eastAsiaTheme="majorEastAsia"/>
          <w:color w:val="000000"/>
        </w:rPr>
        <w:t>Krantz</w:t>
      </w:r>
      <w:r>
        <w:rPr>
          <w:rStyle w:val="apple-converted-space"/>
          <w:rFonts w:eastAsiaTheme="majorEastAsia"/>
          <w:color w:val="000000"/>
        </w:rPr>
        <w:t> </w:t>
      </w:r>
      <w:r>
        <w:rPr>
          <w:color w:val="000000"/>
        </w:rPr>
        <w:t>parameter, while a brilliant hypothesis, may not have performed as well because the specific geometry of interaction for a guest residue on a flexible peptide is different from that of a small molecule binding to the rigid phi clamp site, leading to a less consistent "aromatic bonus".</w:t>
      </w:r>
    </w:p>
    <w:p w14:paraId="3282D213" w14:textId="77777777" w:rsidR="00263BDC" w:rsidRDefault="00263BDC" w:rsidP="00263BDC">
      <w:pPr>
        <w:pStyle w:val="NormalWeb"/>
        <w:rPr>
          <w:color w:val="000000"/>
        </w:rPr>
      </w:pPr>
      <w:r>
        <w:rPr>
          <w:color w:val="000000"/>
        </w:rPr>
        <w:t>This is not a failure of the SASA model, but rather a discovery about what physical properties are most important for</w:t>
      </w:r>
      <w:r>
        <w:rPr>
          <w:rStyle w:val="apple-converted-space"/>
          <w:rFonts w:eastAsiaTheme="majorEastAsia"/>
          <w:color w:val="000000"/>
        </w:rPr>
        <w:t> </w:t>
      </w:r>
      <w:r>
        <w:rPr>
          <w:i/>
          <w:iCs/>
          <w:color w:val="000000"/>
        </w:rPr>
        <w:t>this specific system</w:t>
      </w:r>
      <w:r>
        <w:rPr>
          <w:color w:val="000000"/>
        </w:rPr>
        <w:t xml:space="preserve">. Your data strongly supports using the simpler, </w:t>
      </w:r>
      <w:proofErr w:type="gramStart"/>
      <w:r>
        <w:rPr>
          <w:color w:val="000000"/>
        </w:rPr>
        <w:t>empirically-derived</w:t>
      </w:r>
      <w:proofErr w:type="gramEnd"/>
      <w:r>
        <w:rPr>
          <w:color w:val="000000"/>
        </w:rPr>
        <w:t xml:space="preserve"> scales to tell your story.</w:t>
      </w:r>
    </w:p>
    <w:p w14:paraId="38254066" w14:textId="081FAC73" w:rsidR="00BA637A" w:rsidRDefault="00BA637A">
      <w:pPr>
        <w:spacing w:after="160" w:line="278" w:lineRule="auto"/>
      </w:pPr>
      <w:r>
        <w:br w:type="page"/>
      </w:r>
    </w:p>
    <w:p w14:paraId="79AB9F63" w14:textId="77777777" w:rsidR="00BA637A" w:rsidRDefault="00BA637A" w:rsidP="00BA637A">
      <w:pPr>
        <w:pStyle w:val="NormalWeb"/>
        <w:rPr>
          <w:color w:val="000000"/>
        </w:rPr>
      </w:pPr>
      <w:r>
        <w:rPr>
          <w:color w:val="000000"/>
        </w:rPr>
        <w:lastRenderedPageBreak/>
        <w:t>Thank you for providing that crucial context for the conductance states. This new information allows for a much more precise and physically meaningful interpretation of the correlation data. You are correct to revisit the analysis; defining the states properly is the key to unlocking the correct physical narrative.</w:t>
      </w:r>
    </w:p>
    <w:p w14:paraId="480E8F0D" w14:textId="77777777" w:rsidR="00BA637A" w:rsidRDefault="00BA637A" w:rsidP="00BA637A">
      <w:pPr>
        <w:pStyle w:val="NormalWeb"/>
        <w:rPr>
          <w:color w:val="000000"/>
        </w:rPr>
      </w:pPr>
      <w:r>
        <w:rPr>
          <w:color w:val="000000"/>
        </w:rPr>
        <w:t>With State 3 as the open pore,</w:t>
      </w:r>
      <w:r>
        <w:rPr>
          <w:rStyle w:val="apple-converted-space"/>
          <w:rFonts w:eastAsiaTheme="majorEastAsia"/>
          <w:color w:val="000000"/>
        </w:rPr>
        <w:t> </w:t>
      </w:r>
      <w:r>
        <w:rPr>
          <w:b/>
          <w:bCs/>
          <w:color w:val="000000"/>
        </w:rPr>
        <w:t>any transition</w:t>
      </w:r>
      <w:r>
        <w:rPr>
          <w:rStyle w:val="apple-converted-space"/>
          <w:rFonts w:eastAsiaTheme="majorEastAsia"/>
          <w:b/>
          <w:bCs/>
          <w:color w:val="000000"/>
        </w:rPr>
        <w:t> </w:t>
      </w:r>
      <w:r>
        <w:rPr>
          <w:b/>
          <w:bCs/>
          <w:i/>
          <w:iCs/>
          <w:color w:val="000000"/>
        </w:rPr>
        <w:t>to</w:t>
      </w:r>
      <w:r>
        <w:rPr>
          <w:rStyle w:val="apple-converted-space"/>
          <w:rFonts w:eastAsiaTheme="majorEastAsia"/>
          <w:b/>
          <w:bCs/>
          <w:color w:val="000000"/>
        </w:rPr>
        <w:t> </w:t>
      </w:r>
      <w:r>
        <w:rPr>
          <w:b/>
          <w:bCs/>
          <w:color w:val="000000"/>
        </w:rPr>
        <w:t>State 3 is a dissociation/escape event</w:t>
      </w:r>
      <w:r>
        <w:rPr>
          <w:color w:val="000000"/>
        </w:rPr>
        <w:t>. This fundamentally reframes the story told by your</w:t>
      </w:r>
      <w:r>
        <w:rPr>
          <w:rStyle w:val="apple-converted-space"/>
          <w:rFonts w:eastAsiaTheme="majorEastAsia"/>
          <w:color w:val="000000"/>
        </w:rPr>
        <w:t> </w:t>
      </w:r>
      <w:r>
        <w:rPr>
          <w:rStyle w:val="HTMLCode"/>
          <w:rFonts w:eastAsiaTheme="majorEastAsia"/>
          <w:color w:val="000000"/>
        </w:rPr>
        <w:t>best_correlation_per_transition.csv</w:t>
      </w:r>
      <w:r>
        <w:rPr>
          <w:rStyle w:val="apple-converted-space"/>
          <w:rFonts w:eastAsiaTheme="majorEastAsia"/>
          <w:color w:val="000000"/>
        </w:rPr>
        <w:t> </w:t>
      </w:r>
      <w:r>
        <w:rPr>
          <w:color w:val="000000"/>
        </w:rPr>
        <w:t>data.</w:t>
      </w:r>
    </w:p>
    <w:p w14:paraId="7192C9C0" w14:textId="77777777" w:rsidR="00BA637A" w:rsidRDefault="00BA637A" w:rsidP="00BA637A">
      <w:pPr>
        <w:pStyle w:val="NormalWeb"/>
        <w:rPr>
          <w:color w:val="000000"/>
        </w:rPr>
      </w:pPr>
      <w:r>
        <w:rPr>
          <w:color w:val="000000"/>
        </w:rPr>
        <w:t>Here is the revised analysis and the new "Three-Act Story" based on your state definitions.</w:t>
      </w:r>
    </w:p>
    <w:p w14:paraId="2752B766" w14:textId="77777777" w:rsidR="00BA637A" w:rsidRDefault="00BA637A" w:rsidP="00BA637A">
      <w:pPr>
        <w:pStyle w:val="Heading3"/>
        <w:rPr>
          <w:color w:val="000000"/>
        </w:rPr>
      </w:pPr>
      <w:r>
        <w:rPr>
          <w:color w:val="000000"/>
        </w:rPr>
        <w:t>A Refined Story: Life Inside the Nanopore</w:t>
      </w:r>
    </w:p>
    <w:p w14:paraId="2B528611" w14:textId="77777777" w:rsidR="00BA637A" w:rsidRDefault="00BA637A" w:rsidP="00BA637A">
      <w:pPr>
        <w:pStyle w:val="NormalWeb"/>
        <w:rPr>
          <w:color w:val="000000"/>
        </w:rPr>
      </w:pPr>
      <w:r>
        <w:rPr>
          <w:color w:val="000000"/>
        </w:rPr>
        <w:t>The provided data does not contain capture events (i.e., transitions</w:t>
      </w:r>
      <w:r>
        <w:rPr>
          <w:rStyle w:val="apple-converted-space"/>
          <w:rFonts w:eastAsiaTheme="majorEastAsia"/>
          <w:color w:val="000000"/>
        </w:rPr>
        <w:t> </w:t>
      </w:r>
      <w:r>
        <w:rPr>
          <w:i/>
          <w:iCs/>
          <w:color w:val="000000"/>
        </w:rPr>
        <w:t>from</w:t>
      </w:r>
      <w:r>
        <w:rPr>
          <w:rStyle w:val="apple-converted-space"/>
          <w:rFonts w:eastAsiaTheme="majorEastAsia"/>
          <w:color w:val="000000"/>
        </w:rPr>
        <w:t> </w:t>
      </w:r>
      <w:r>
        <w:rPr>
          <w:color w:val="000000"/>
        </w:rPr>
        <w:t>State 3), so our story begins with the peptide already trapped inside the pore. The analysis reveals a detailed picture of the forces governing the peptide's behavior as it rearranges and, eventually, escapes.</w:t>
      </w:r>
    </w:p>
    <w:p w14:paraId="17EE14FE" w14:textId="77777777" w:rsidR="00BA637A" w:rsidRDefault="00BD6886" w:rsidP="00BA637A">
      <w:r w:rsidRPr="00BD6886">
        <w:rPr>
          <w:noProof/>
          <w14:ligatures w14:val="standardContextual"/>
        </w:rPr>
        <w:pict w14:anchorId="31335FA1">
          <v:rect id="_x0000_i1027" alt="" style="width:468pt;height:.05pt;mso-width-percent:0;mso-height-percent:0;mso-width-percent:0;mso-height-percent:0" o:hralign="center" o:hrstd="t" o:hr="t" fillcolor="#a0a0a0" stroked="f"/>
        </w:pict>
      </w:r>
    </w:p>
    <w:p w14:paraId="23A80D72" w14:textId="77777777" w:rsidR="00BA637A" w:rsidRDefault="00BA637A" w:rsidP="00BA637A">
      <w:pPr>
        <w:pStyle w:val="Heading4"/>
        <w:rPr>
          <w:color w:val="000000"/>
        </w:rPr>
      </w:pPr>
      <w:r>
        <w:rPr>
          <w:color w:val="000000"/>
        </w:rPr>
        <w:t>Act 1: The Hydrophobic Trap (Dynamics Involving the Deepest Block, State 0)</w:t>
      </w:r>
    </w:p>
    <w:p w14:paraId="01189899" w14:textId="77777777" w:rsidR="00BA637A" w:rsidRDefault="00BA637A" w:rsidP="00BA637A">
      <w:pPr>
        <w:pStyle w:val="NormalWeb"/>
        <w:rPr>
          <w:color w:val="000000"/>
        </w:rPr>
      </w:pPr>
      <w:r>
        <w:rPr>
          <w:color w:val="000000"/>
        </w:rPr>
        <w:t>State 0, being fully blocked, represents a deep, stable binding state. The transitions into and out of this state are governed by different forces.</w:t>
      </w:r>
    </w:p>
    <w:p w14:paraId="27A2D251" w14:textId="77777777" w:rsidR="00BA637A" w:rsidRDefault="00BA637A" w:rsidP="00BA637A">
      <w:pPr>
        <w:pStyle w:val="NormalWeb"/>
        <w:numPr>
          <w:ilvl w:val="0"/>
          <w:numId w:val="25"/>
        </w:numPr>
        <w:rPr>
          <w:color w:val="000000"/>
        </w:rPr>
      </w:pPr>
      <w:r>
        <w:rPr>
          <w:b/>
          <w:bCs/>
          <w:color w:val="000000"/>
        </w:rPr>
        <w:t>Entering the Trap (</w:t>
      </w:r>
      <w:r>
        <w:rPr>
          <w:rStyle w:val="HTMLCode"/>
          <w:rFonts w:eastAsiaTheme="majorEastAsia"/>
          <w:b/>
          <w:bCs/>
          <w:color w:val="000000"/>
        </w:rPr>
        <w:t>1 -&gt; 0</w:t>
      </w:r>
      <w:r>
        <w:rPr>
          <w:b/>
          <w:bCs/>
          <w:color w:val="000000"/>
        </w:rPr>
        <w:t>) is Driven by Hydrophobicity.</w:t>
      </w:r>
    </w:p>
    <w:p w14:paraId="2C6B31C3" w14:textId="77777777" w:rsidR="00BA637A" w:rsidRDefault="00BA637A" w:rsidP="00BA637A">
      <w:pPr>
        <w:pStyle w:val="NormalWeb"/>
        <w:numPr>
          <w:ilvl w:val="1"/>
          <w:numId w:val="25"/>
        </w:numPr>
        <w:rPr>
          <w:color w:val="000000"/>
        </w:rPr>
      </w:pPr>
      <w:r>
        <w:rPr>
          <w:color w:val="000000"/>
        </w:rPr>
        <w:t>The lifetime for this transition (</w:t>
      </w:r>
      <w:proofErr w:type="spellStart"/>
      <w:r>
        <w:rPr>
          <w:rStyle w:val="HTMLCode"/>
          <w:rFonts w:eastAsiaTheme="majorEastAsia"/>
          <w:color w:val="000000"/>
        </w:rPr>
        <w:t>log_tau_mean</w:t>
      </w:r>
      <w:proofErr w:type="spellEnd"/>
      <w:r>
        <w:rPr>
          <w:color w:val="000000"/>
        </w:rPr>
        <w:t>) is almost perfectly predicted by</w:t>
      </w:r>
      <w:r>
        <w:rPr>
          <w:rStyle w:val="apple-converted-space"/>
          <w:rFonts w:eastAsiaTheme="majorEastAsia"/>
          <w:color w:val="000000"/>
        </w:rPr>
        <w:t> </w:t>
      </w:r>
      <w:r>
        <w:rPr>
          <w:rStyle w:val="HTMLCode"/>
          <w:rFonts w:eastAsiaTheme="majorEastAsia"/>
          <w:b/>
          <w:bCs/>
          <w:color w:val="000000"/>
        </w:rPr>
        <w:t>Hopp-Woods</w:t>
      </w:r>
      <w:r>
        <w:rPr>
          <w:rStyle w:val="apple-converted-space"/>
          <w:rFonts w:eastAsiaTheme="majorEastAsia"/>
          <w:b/>
          <w:bCs/>
          <w:color w:val="000000"/>
        </w:rPr>
        <w:t> </w:t>
      </w:r>
      <w:r>
        <w:rPr>
          <w:b/>
          <w:bCs/>
          <w:color w:val="000000"/>
        </w:rPr>
        <w:t>(R² = 0.97)</w:t>
      </w:r>
      <w:r>
        <w:rPr>
          <w:color w:val="000000"/>
        </w:rPr>
        <w:t>.</w:t>
      </w:r>
    </w:p>
    <w:p w14:paraId="2760DDFF" w14:textId="77777777" w:rsidR="00BA637A" w:rsidRDefault="00BA637A" w:rsidP="00BA637A">
      <w:pPr>
        <w:pStyle w:val="NormalWeb"/>
        <w:numPr>
          <w:ilvl w:val="1"/>
          <w:numId w:val="25"/>
        </w:numPr>
        <w:rPr>
          <w:color w:val="000000"/>
        </w:rPr>
      </w:pPr>
      <w:r>
        <w:rPr>
          <w:b/>
          <w:bCs/>
          <w:color w:val="000000"/>
        </w:rPr>
        <w:t>Interpretation:</w:t>
      </w:r>
      <w:r>
        <w:rPr>
          <w:rStyle w:val="apple-converted-space"/>
          <w:rFonts w:eastAsiaTheme="majorEastAsia"/>
          <w:color w:val="000000"/>
        </w:rPr>
        <w:t> </w:t>
      </w:r>
      <w:r>
        <w:rPr>
          <w:color w:val="000000"/>
        </w:rPr>
        <w:t>This is a massive signal. It strongly suggests that State 0 is a "hydrophobic trap" where the amino acid side chain has maximized its favorable, sticky contacts with the pore wall. The more hydrophobic the residue, the longer it takes to rearrange and find this most stable state.</w:t>
      </w:r>
    </w:p>
    <w:p w14:paraId="4A313ACB" w14:textId="77777777" w:rsidR="00BA637A" w:rsidRDefault="00BA637A" w:rsidP="00BA637A">
      <w:pPr>
        <w:pStyle w:val="NormalWeb"/>
        <w:numPr>
          <w:ilvl w:val="0"/>
          <w:numId w:val="25"/>
        </w:numPr>
        <w:rPr>
          <w:color w:val="000000"/>
        </w:rPr>
      </w:pPr>
      <w:r>
        <w:rPr>
          <w:b/>
          <w:bCs/>
          <w:color w:val="000000"/>
        </w:rPr>
        <w:t>Escaping the Trap (</w:t>
      </w:r>
      <w:r>
        <w:rPr>
          <w:rStyle w:val="HTMLCode"/>
          <w:rFonts w:eastAsiaTheme="majorEastAsia"/>
          <w:b/>
          <w:bCs/>
          <w:color w:val="000000"/>
        </w:rPr>
        <w:t>0 -&gt; 1</w:t>
      </w:r>
      <w:r>
        <w:rPr>
          <w:rStyle w:val="apple-converted-space"/>
          <w:rFonts w:eastAsiaTheme="majorEastAsia"/>
          <w:b/>
          <w:bCs/>
          <w:color w:val="000000"/>
        </w:rPr>
        <w:t> </w:t>
      </w:r>
      <w:r>
        <w:rPr>
          <w:b/>
          <w:bCs/>
          <w:color w:val="000000"/>
        </w:rPr>
        <w:t>and</w:t>
      </w:r>
      <w:r>
        <w:rPr>
          <w:rStyle w:val="apple-converted-space"/>
          <w:rFonts w:eastAsiaTheme="majorEastAsia"/>
          <w:b/>
          <w:bCs/>
          <w:color w:val="000000"/>
        </w:rPr>
        <w:t> </w:t>
      </w:r>
      <w:r>
        <w:rPr>
          <w:rStyle w:val="HTMLCode"/>
          <w:rFonts w:eastAsiaTheme="majorEastAsia"/>
          <w:b/>
          <w:bCs/>
          <w:color w:val="000000"/>
        </w:rPr>
        <w:t>0 -&gt; 2</w:t>
      </w:r>
      <w:r>
        <w:rPr>
          <w:b/>
          <w:bCs/>
          <w:color w:val="000000"/>
        </w:rPr>
        <w:t>) is a Size-Dependent Process, Gated by Aromaticity.</w:t>
      </w:r>
    </w:p>
    <w:p w14:paraId="5DA953F3" w14:textId="77777777" w:rsidR="00BA637A" w:rsidRDefault="00BA637A" w:rsidP="00BA637A">
      <w:pPr>
        <w:pStyle w:val="NormalWeb"/>
        <w:numPr>
          <w:ilvl w:val="1"/>
          <w:numId w:val="25"/>
        </w:numPr>
        <w:rPr>
          <w:color w:val="000000"/>
        </w:rPr>
      </w:pPr>
      <w:r>
        <w:rPr>
          <w:color w:val="000000"/>
        </w:rPr>
        <w:t>The time it takes to move out of the deep state is best correlated with</w:t>
      </w:r>
      <w:r>
        <w:rPr>
          <w:rStyle w:val="apple-converted-space"/>
          <w:rFonts w:eastAsiaTheme="majorEastAsia"/>
          <w:color w:val="000000"/>
        </w:rPr>
        <w:t> </w:t>
      </w:r>
      <w:proofErr w:type="spellStart"/>
      <w:r>
        <w:rPr>
          <w:rStyle w:val="HTMLCode"/>
          <w:rFonts w:eastAsiaTheme="majorEastAsia"/>
          <w:b/>
          <w:bCs/>
          <w:color w:val="000000"/>
        </w:rPr>
        <w:t>mol_wt</w:t>
      </w:r>
      <w:proofErr w:type="spellEnd"/>
      <w:r>
        <w:rPr>
          <w:rStyle w:val="apple-converted-space"/>
          <w:rFonts w:eastAsiaTheme="majorEastAsia"/>
          <w:color w:val="000000"/>
        </w:rPr>
        <w:t> </w:t>
      </w:r>
      <w:r>
        <w:rPr>
          <w:color w:val="000000"/>
        </w:rPr>
        <w:t>and</w:t>
      </w:r>
      <w:r>
        <w:rPr>
          <w:rStyle w:val="apple-converted-space"/>
          <w:rFonts w:eastAsiaTheme="majorEastAsia"/>
          <w:color w:val="000000"/>
        </w:rPr>
        <w:t> </w:t>
      </w:r>
      <w:proofErr w:type="spellStart"/>
      <w:r>
        <w:rPr>
          <w:rStyle w:val="HTMLCode"/>
          <w:rFonts w:eastAsiaTheme="majorEastAsia"/>
          <w:b/>
          <w:bCs/>
          <w:color w:val="000000"/>
        </w:rPr>
        <w:t>num_rings</w:t>
      </w:r>
      <w:proofErr w:type="spellEnd"/>
      <w:r>
        <w:rPr>
          <w:color w:val="000000"/>
        </w:rPr>
        <w:t>.</w:t>
      </w:r>
    </w:p>
    <w:p w14:paraId="44067D79" w14:textId="77777777" w:rsidR="00BA637A" w:rsidRDefault="00BA637A" w:rsidP="00BA637A">
      <w:pPr>
        <w:pStyle w:val="NormalWeb"/>
        <w:numPr>
          <w:ilvl w:val="1"/>
          <w:numId w:val="25"/>
        </w:numPr>
        <w:rPr>
          <w:color w:val="000000"/>
        </w:rPr>
      </w:pPr>
      <w:r>
        <w:rPr>
          <w:color w:val="000000"/>
        </w:rPr>
        <w:t>Crucially, the</w:t>
      </w:r>
      <w:r>
        <w:rPr>
          <w:rStyle w:val="apple-converted-space"/>
          <w:rFonts w:eastAsiaTheme="majorEastAsia"/>
          <w:color w:val="000000"/>
        </w:rPr>
        <w:t> </w:t>
      </w:r>
      <w:r>
        <w:rPr>
          <w:i/>
          <w:iCs/>
          <w:color w:val="000000"/>
        </w:rPr>
        <w:t>probability</w:t>
      </w:r>
      <w:r>
        <w:rPr>
          <w:rStyle w:val="apple-converted-space"/>
          <w:rFonts w:eastAsiaTheme="majorEastAsia"/>
          <w:color w:val="000000"/>
        </w:rPr>
        <w:t> </w:t>
      </w:r>
      <w:r>
        <w:rPr>
          <w:color w:val="000000"/>
        </w:rPr>
        <w:t>of making a fast exit (</w:t>
      </w:r>
      <w:proofErr w:type="spellStart"/>
      <w:r>
        <w:rPr>
          <w:rStyle w:val="HTMLCode"/>
          <w:rFonts w:eastAsiaTheme="majorEastAsia"/>
          <w:color w:val="000000"/>
        </w:rPr>
        <w:t>A_fast</w:t>
      </w:r>
      <w:proofErr w:type="spellEnd"/>
      <w:r>
        <w:rPr>
          <w:color w:val="000000"/>
        </w:rPr>
        <w:t>) is best predicted by</w:t>
      </w:r>
      <w:r>
        <w:rPr>
          <w:rStyle w:val="apple-converted-space"/>
          <w:rFonts w:eastAsiaTheme="majorEastAsia"/>
          <w:color w:val="000000"/>
        </w:rPr>
        <w:t> </w:t>
      </w:r>
      <w:r>
        <w:rPr>
          <w:rStyle w:val="HTMLCode"/>
          <w:rFonts w:eastAsiaTheme="majorEastAsia"/>
          <w:b/>
          <w:bCs/>
          <w:color w:val="000000"/>
        </w:rPr>
        <w:t>aromaticity</w:t>
      </w:r>
      <w:r>
        <w:rPr>
          <w:rStyle w:val="apple-converted-space"/>
          <w:rFonts w:eastAsiaTheme="majorEastAsia"/>
          <w:b/>
          <w:bCs/>
          <w:color w:val="000000"/>
        </w:rPr>
        <w:t> </w:t>
      </w:r>
      <w:r>
        <w:rPr>
          <w:b/>
          <w:bCs/>
          <w:color w:val="000000"/>
        </w:rPr>
        <w:t>(R² = 0.89 for</w:t>
      </w:r>
      <w:r>
        <w:rPr>
          <w:rStyle w:val="apple-converted-space"/>
          <w:rFonts w:eastAsiaTheme="majorEastAsia"/>
          <w:b/>
          <w:bCs/>
          <w:color w:val="000000"/>
        </w:rPr>
        <w:t> </w:t>
      </w:r>
      <w:r>
        <w:rPr>
          <w:rStyle w:val="HTMLCode"/>
          <w:rFonts w:eastAsiaTheme="majorEastAsia"/>
          <w:b/>
          <w:bCs/>
          <w:color w:val="000000"/>
        </w:rPr>
        <w:t>0-&gt;1</w:t>
      </w:r>
      <w:r>
        <w:rPr>
          <w:b/>
          <w:bCs/>
          <w:color w:val="000000"/>
        </w:rPr>
        <w:t>)</w:t>
      </w:r>
      <w:r>
        <w:rPr>
          <w:color w:val="000000"/>
        </w:rPr>
        <w:t>.</w:t>
      </w:r>
    </w:p>
    <w:p w14:paraId="48086FE3" w14:textId="77777777" w:rsidR="00BA637A" w:rsidRDefault="00BA637A" w:rsidP="00BA637A">
      <w:pPr>
        <w:pStyle w:val="NormalWeb"/>
        <w:numPr>
          <w:ilvl w:val="1"/>
          <w:numId w:val="25"/>
        </w:numPr>
        <w:rPr>
          <w:color w:val="000000"/>
        </w:rPr>
      </w:pPr>
      <w:r>
        <w:rPr>
          <w:b/>
          <w:bCs/>
          <w:color w:val="000000"/>
        </w:rPr>
        <w:t>Interpretation:</w:t>
      </w:r>
      <w:r>
        <w:rPr>
          <w:rStyle w:val="apple-converted-space"/>
          <w:rFonts w:eastAsiaTheme="majorEastAsia"/>
          <w:color w:val="000000"/>
        </w:rPr>
        <w:t> </w:t>
      </w:r>
      <w:r>
        <w:rPr>
          <w:color w:val="000000"/>
        </w:rPr>
        <w:t>Wiggling out of the tight, fully-blocked state is primarily a steric problem—it's a physical size challenge. However, aromatic residues seem uniquely able to initiate a rapid escape, suggesting they have access to a specific, lower-energy pathway out of the trap, perhaps via a transient π-stacking interaction that helps lever them out.</w:t>
      </w:r>
    </w:p>
    <w:p w14:paraId="06B924A5" w14:textId="77777777" w:rsidR="00BA637A" w:rsidRDefault="00BD6886" w:rsidP="00BA637A">
      <w:r w:rsidRPr="00BD6886">
        <w:rPr>
          <w:noProof/>
          <w14:ligatures w14:val="standardContextual"/>
        </w:rPr>
        <w:pict w14:anchorId="1AE87DA1">
          <v:rect id="_x0000_i1026" alt="" style="width:468pt;height:.05pt;mso-width-percent:0;mso-height-percent:0;mso-width-percent:0;mso-height-percent:0" o:hralign="center" o:hrstd="t" o:hr="t" fillcolor="#a0a0a0" stroked="f"/>
        </w:pict>
      </w:r>
    </w:p>
    <w:p w14:paraId="07BF84DE" w14:textId="77777777" w:rsidR="00BA637A" w:rsidRDefault="00BA637A" w:rsidP="00BA637A">
      <w:pPr>
        <w:pStyle w:val="Heading4"/>
        <w:rPr>
          <w:color w:val="000000"/>
        </w:rPr>
      </w:pPr>
      <w:r>
        <w:rPr>
          <w:color w:val="000000"/>
        </w:rPr>
        <w:lastRenderedPageBreak/>
        <w:t>Act 2: Exploring Intermediate States (Transitions between States 1, 2)</w:t>
      </w:r>
    </w:p>
    <w:p w14:paraId="5958F198" w14:textId="77777777" w:rsidR="00BA637A" w:rsidRDefault="00BA637A" w:rsidP="00BA637A">
      <w:pPr>
        <w:pStyle w:val="NormalWeb"/>
        <w:rPr>
          <w:color w:val="000000"/>
        </w:rPr>
      </w:pPr>
      <w:r>
        <w:rPr>
          <w:color w:val="000000"/>
        </w:rPr>
        <w:t xml:space="preserve">Once outside the deepest trap, the peptide can rearrange between </w:t>
      </w:r>
      <w:proofErr w:type="gramStart"/>
      <w:r>
        <w:rPr>
          <w:color w:val="000000"/>
        </w:rPr>
        <w:t>partially-blocked</w:t>
      </w:r>
      <w:proofErr w:type="gramEnd"/>
      <w:r>
        <w:rPr>
          <w:color w:val="000000"/>
        </w:rPr>
        <w:t xml:space="preserve"> states. These movements are a clear measure of the side chain's "stickiness".</w:t>
      </w:r>
    </w:p>
    <w:p w14:paraId="44392FDB" w14:textId="77777777" w:rsidR="00BA637A" w:rsidRDefault="00BA637A" w:rsidP="00BA637A">
      <w:pPr>
        <w:pStyle w:val="NormalWeb"/>
        <w:numPr>
          <w:ilvl w:val="0"/>
          <w:numId w:val="26"/>
        </w:numPr>
        <w:rPr>
          <w:color w:val="000000"/>
        </w:rPr>
      </w:pPr>
      <w:r>
        <w:rPr>
          <w:b/>
          <w:bCs/>
          <w:color w:val="000000"/>
        </w:rPr>
        <w:t>Rearrangement is a Dance of Hydrophobicity.</w:t>
      </w:r>
    </w:p>
    <w:p w14:paraId="60EDC404" w14:textId="77777777" w:rsidR="00BA637A" w:rsidRDefault="00BA637A" w:rsidP="00BA637A">
      <w:pPr>
        <w:pStyle w:val="NormalWeb"/>
        <w:numPr>
          <w:ilvl w:val="1"/>
          <w:numId w:val="26"/>
        </w:numPr>
        <w:rPr>
          <w:color w:val="000000"/>
        </w:rPr>
      </w:pPr>
      <w:r>
        <w:rPr>
          <w:color w:val="000000"/>
        </w:rPr>
        <w:t>For transitions like</w:t>
      </w:r>
      <w:r>
        <w:rPr>
          <w:rStyle w:val="apple-converted-space"/>
          <w:rFonts w:eastAsiaTheme="majorEastAsia"/>
          <w:color w:val="000000"/>
        </w:rPr>
        <w:t> </w:t>
      </w:r>
      <w:r>
        <w:rPr>
          <w:rStyle w:val="HTMLCode"/>
          <w:rFonts w:eastAsiaTheme="majorEastAsia"/>
          <w:color w:val="000000"/>
        </w:rPr>
        <w:t>1 -&gt; 2</w:t>
      </w:r>
      <w:r>
        <w:rPr>
          <w:color w:val="000000"/>
        </w:rPr>
        <w:t>, both the lifetimes and the amplitudes are best predicted by hydrophobicity scales like</w:t>
      </w:r>
      <w:r>
        <w:rPr>
          <w:rStyle w:val="apple-converted-space"/>
          <w:rFonts w:eastAsiaTheme="majorEastAsia"/>
          <w:color w:val="000000"/>
        </w:rPr>
        <w:t> </w:t>
      </w:r>
      <w:r>
        <w:rPr>
          <w:rStyle w:val="HTMLCode"/>
          <w:rFonts w:eastAsiaTheme="majorEastAsia"/>
          <w:b/>
          <w:bCs/>
          <w:color w:val="000000"/>
        </w:rPr>
        <w:t>Hopp-Woods</w:t>
      </w:r>
      <w:r>
        <w:rPr>
          <w:rStyle w:val="apple-converted-space"/>
          <w:rFonts w:eastAsiaTheme="majorEastAsia"/>
          <w:color w:val="000000"/>
        </w:rPr>
        <w:t> </w:t>
      </w:r>
      <w:r>
        <w:rPr>
          <w:color w:val="000000"/>
        </w:rPr>
        <w:t>and</w:t>
      </w:r>
      <w:r>
        <w:rPr>
          <w:rStyle w:val="apple-converted-space"/>
          <w:rFonts w:eastAsiaTheme="majorEastAsia"/>
          <w:color w:val="000000"/>
        </w:rPr>
        <w:t> </w:t>
      </w:r>
      <w:proofErr w:type="spellStart"/>
      <w:r>
        <w:rPr>
          <w:rStyle w:val="HTMLCode"/>
          <w:rFonts w:eastAsiaTheme="majorEastAsia"/>
          <w:b/>
          <w:bCs/>
          <w:color w:val="000000"/>
        </w:rPr>
        <w:t>Tanford</w:t>
      </w:r>
      <w:proofErr w:type="spellEnd"/>
      <w:r>
        <w:rPr>
          <w:color w:val="000000"/>
        </w:rPr>
        <w:t>, with very high R-squared values (e.g., R² = 0.95 for</w:t>
      </w:r>
      <w:r>
        <w:rPr>
          <w:rStyle w:val="apple-converted-space"/>
          <w:rFonts w:eastAsiaTheme="majorEastAsia"/>
          <w:color w:val="000000"/>
        </w:rPr>
        <w:t> </w:t>
      </w:r>
      <w:proofErr w:type="spellStart"/>
      <w:r>
        <w:rPr>
          <w:rStyle w:val="HTMLCode"/>
          <w:rFonts w:eastAsiaTheme="majorEastAsia"/>
          <w:color w:val="000000"/>
        </w:rPr>
        <w:t>A_slow</w:t>
      </w:r>
      <w:proofErr w:type="spellEnd"/>
      <w:r>
        <w:rPr>
          <w:color w:val="000000"/>
        </w:rPr>
        <w:t>).</w:t>
      </w:r>
    </w:p>
    <w:p w14:paraId="1C85B708" w14:textId="77777777" w:rsidR="00BA637A" w:rsidRDefault="00BA637A" w:rsidP="00BA637A">
      <w:pPr>
        <w:pStyle w:val="NormalWeb"/>
        <w:numPr>
          <w:ilvl w:val="1"/>
          <w:numId w:val="26"/>
        </w:numPr>
        <w:rPr>
          <w:color w:val="000000"/>
        </w:rPr>
      </w:pPr>
      <w:r>
        <w:rPr>
          <w:b/>
          <w:bCs/>
          <w:color w:val="000000"/>
        </w:rPr>
        <w:t>Interpretation:</w:t>
      </w:r>
      <w:r>
        <w:rPr>
          <w:rStyle w:val="apple-converted-space"/>
          <w:rFonts w:eastAsiaTheme="majorEastAsia"/>
          <w:color w:val="000000"/>
        </w:rPr>
        <w:t> </w:t>
      </w:r>
      <w:r>
        <w:rPr>
          <w:color w:val="000000"/>
        </w:rPr>
        <w:t xml:space="preserve">The "hidden" states (1 and 2) represent distinct conformations where the side chain makes different sets of contacts with the pore wall. The energy barriers between them are directly related to the net transfer free energy of the side chain, confirming that these are </w:t>
      </w:r>
      <w:proofErr w:type="gramStart"/>
      <w:r>
        <w:rPr>
          <w:color w:val="000000"/>
        </w:rPr>
        <w:t>hydrophobically-driven</w:t>
      </w:r>
      <w:proofErr w:type="gramEnd"/>
      <w:r>
        <w:rPr>
          <w:color w:val="000000"/>
        </w:rPr>
        <w:t xml:space="preserve"> rearrangements.</w:t>
      </w:r>
    </w:p>
    <w:p w14:paraId="50CB5EC2" w14:textId="77777777" w:rsidR="00BA637A" w:rsidRDefault="00BD6886" w:rsidP="00BA637A">
      <w:r w:rsidRPr="00BD6886">
        <w:rPr>
          <w:noProof/>
          <w14:ligatures w14:val="standardContextual"/>
        </w:rPr>
        <w:pict w14:anchorId="642850AB">
          <v:rect id="_x0000_i1025" alt="" style="width:468pt;height:.05pt;mso-width-percent:0;mso-height-percent:0;mso-width-percent:0;mso-height-percent:0" o:hralign="center" o:hrstd="t" o:hr="t" fillcolor="#a0a0a0" stroked="f"/>
        </w:pict>
      </w:r>
    </w:p>
    <w:p w14:paraId="24FF22CD" w14:textId="77777777" w:rsidR="00BA637A" w:rsidRDefault="00BA637A" w:rsidP="00BA637A">
      <w:pPr>
        <w:pStyle w:val="Heading4"/>
        <w:rPr>
          <w:color w:val="000000"/>
        </w:rPr>
      </w:pPr>
      <w:r>
        <w:rPr>
          <w:color w:val="000000"/>
        </w:rPr>
        <w:t>Act 3: The Great Escape (Dissociation to State 3)</w:t>
      </w:r>
    </w:p>
    <w:p w14:paraId="6AE6E2A5" w14:textId="77777777" w:rsidR="00BA637A" w:rsidRDefault="00BA637A" w:rsidP="00BA637A">
      <w:pPr>
        <w:pStyle w:val="NormalWeb"/>
        <w:rPr>
          <w:color w:val="000000"/>
        </w:rPr>
      </w:pPr>
      <w:r>
        <w:rPr>
          <w:color w:val="000000"/>
        </w:rPr>
        <w:t>The</w:t>
      </w:r>
      <w:r>
        <w:rPr>
          <w:rStyle w:val="apple-converted-space"/>
          <w:rFonts w:eastAsiaTheme="majorEastAsia"/>
          <w:color w:val="000000"/>
        </w:rPr>
        <w:t> </w:t>
      </w:r>
      <w:r>
        <w:rPr>
          <w:rStyle w:val="HTMLCode"/>
          <w:rFonts w:eastAsiaTheme="majorEastAsia"/>
          <w:color w:val="000000"/>
        </w:rPr>
        <w:t>1 -&gt; 3</w:t>
      </w:r>
      <w:r>
        <w:rPr>
          <w:rStyle w:val="apple-converted-space"/>
          <w:rFonts w:eastAsiaTheme="majorEastAsia"/>
          <w:color w:val="000000"/>
        </w:rPr>
        <w:t> </w:t>
      </w:r>
      <w:r>
        <w:rPr>
          <w:color w:val="000000"/>
        </w:rPr>
        <w:t>transition is the only dissociation event captured in your data, making it a critical window into the overall binding stability.</w:t>
      </w:r>
    </w:p>
    <w:p w14:paraId="3691BB6B" w14:textId="77777777" w:rsidR="00BA637A" w:rsidRDefault="00BA637A" w:rsidP="00BA637A">
      <w:pPr>
        <w:pStyle w:val="NormalWeb"/>
        <w:numPr>
          <w:ilvl w:val="0"/>
          <w:numId w:val="27"/>
        </w:numPr>
        <w:rPr>
          <w:color w:val="000000"/>
        </w:rPr>
      </w:pPr>
      <w:r>
        <w:rPr>
          <w:b/>
          <w:bCs/>
          <w:color w:val="000000"/>
        </w:rPr>
        <w:t>The Final Escape is an Energetic Battle Against Hydrophobicity and Aromaticity.</w:t>
      </w:r>
    </w:p>
    <w:p w14:paraId="0FCFCBDE" w14:textId="77777777" w:rsidR="00BA637A" w:rsidRDefault="00BA637A" w:rsidP="00BA637A">
      <w:pPr>
        <w:pStyle w:val="NormalWeb"/>
        <w:numPr>
          <w:ilvl w:val="1"/>
          <w:numId w:val="27"/>
        </w:numPr>
        <w:rPr>
          <w:color w:val="000000"/>
        </w:rPr>
      </w:pPr>
      <w:r>
        <w:rPr>
          <w:color w:val="000000"/>
        </w:rPr>
        <w:t>The mean lifetime of this escape (</w:t>
      </w:r>
      <w:proofErr w:type="spellStart"/>
      <w:r>
        <w:rPr>
          <w:rStyle w:val="HTMLCode"/>
          <w:rFonts w:eastAsiaTheme="majorEastAsia"/>
          <w:color w:val="000000"/>
        </w:rPr>
        <w:t>log_tau_mean</w:t>
      </w:r>
      <w:proofErr w:type="spellEnd"/>
      <w:r>
        <w:rPr>
          <w:color w:val="000000"/>
        </w:rPr>
        <w:t>) is best predicted by</w:t>
      </w:r>
      <w:r>
        <w:rPr>
          <w:rStyle w:val="apple-converted-space"/>
          <w:rFonts w:eastAsiaTheme="majorEastAsia"/>
          <w:color w:val="000000"/>
        </w:rPr>
        <w:t> </w:t>
      </w:r>
      <w:r>
        <w:rPr>
          <w:rStyle w:val="HTMLCode"/>
          <w:rFonts w:eastAsiaTheme="majorEastAsia"/>
          <w:b/>
          <w:bCs/>
          <w:color w:val="000000"/>
        </w:rPr>
        <w:t>Hopp-Woods</w:t>
      </w:r>
      <w:r>
        <w:rPr>
          <w:rStyle w:val="apple-converted-space"/>
          <w:rFonts w:eastAsiaTheme="majorEastAsia"/>
          <w:b/>
          <w:bCs/>
          <w:color w:val="000000"/>
        </w:rPr>
        <w:t> </w:t>
      </w:r>
      <w:r>
        <w:rPr>
          <w:b/>
          <w:bCs/>
          <w:color w:val="000000"/>
        </w:rPr>
        <w:t>(R² = 0.86)</w:t>
      </w:r>
      <w:r>
        <w:rPr>
          <w:color w:val="000000"/>
        </w:rPr>
        <w:t>.</w:t>
      </w:r>
    </w:p>
    <w:p w14:paraId="31CCCEE1" w14:textId="77777777" w:rsidR="00BA637A" w:rsidRDefault="00BA637A" w:rsidP="00BA637A">
      <w:pPr>
        <w:pStyle w:val="NormalWeb"/>
        <w:numPr>
          <w:ilvl w:val="1"/>
          <w:numId w:val="27"/>
        </w:numPr>
        <w:rPr>
          <w:color w:val="000000"/>
        </w:rPr>
      </w:pPr>
      <w:r>
        <w:rPr>
          <w:color w:val="000000"/>
        </w:rPr>
        <w:t>Notably, the slowest component of this escape (</w:t>
      </w:r>
      <w:proofErr w:type="spellStart"/>
      <w:r>
        <w:rPr>
          <w:rStyle w:val="HTMLCode"/>
          <w:rFonts w:eastAsiaTheme="majorEastAsia"/>
          <w:color w:val="000000"/>
        </w:rPr>
        <w:t>log_tau_slow</w:t>
      </w:r>
      <w:proofErr w:type="spellEnd"/>
      <w:r>
        <w:rPr>
          <w:color w:val="000000"/>
        </w:rPr>
        <w:t>) is best correlated with</w:t>
      </w:r>
      <w:r>
        <w:rPr>
          <w:rStyle w:val="apple-converted-space"/>
          <w:rFonts w:eastAsiaTheme="majorEastAsia"/>
          <w:color w:val="000000"/>
        </w:rPr>
        <w:t> </w:t>
      </w:r>
      <w:r>
        <w:rPr>
          <w:rStyle w:val="HTMLCode"/>
          <w:rFonts w:eastAsiaTheme="majorEastAsia"/>
          <w:b/>
          <w:bCs/>
          <w:color w:val="000000"/>
        </w:rPr>
        <w:t>aromaticity</w:t>
      </w:r>
      <w:r>
        <w:rPr>
          <w:rStyle w:val="apple-converted-space"/>
          <w:rFonts w:eastAsiaTheme="majorEastAsia"/>
          <w:b/>
          <w:bCs/>
          <w:color w:val="000000"/>
        </w:rPr>
        <w:t> </w:t>
      </w:r>
      <w:r>
        <w:rPr>
          <w:b/>
          <w:bCs/>
          <w:color w:val="000000"/>
        </w:rPr>
        <w:t>(R² = 0.89)</w:t>
      </w:r>
      <w:r>
        <w:rPr>
          <w:color w:val="000000"/>
        </w:rPr>
        <w:t>.</w:t>
      </w:r>
    </w:p>
    <w:p w14:paraId="19294F4E" w14:textId="77777777" w:rsidR="00BA637A" w:rsidRDefault="00BA637A" w:rsidP="00BA637A">
      <w:pPr>
        <w:pStyle w:val="NormalWeb"/>
        <w:numPr>
          <w:ilvl w:val="1"/>
          <w:numId w:val="27"/>
        </w:numPr>
        <w:rPr>
          <w:color w:val="000000"/>
        </w:rPr>
      </w:pPr>
      <w:r>
        <w:rPr>
          <w:b/>
          <w:bCs/>
          <w:color w:val="000000"/>
        </w:rPr>
        <w:t>Interpretation:</w:t>
      </w:r>
      <w:r>
        <w:rPr>
          <w:rStyle w:val="apple-converted-space"/>
          <w:rFonts w:eastAsiaTheme="majorEastAsia"/>
          <w:color w:val="000000"/>
        </w:rPr>
        <w:t> </w:t>
      </w:r>
      <w:r>
        <w:rPr>
          <w:color w:val="000000"/>
        </w:rPr>
        <w:t>The time it takes for the peptide to fully unbind and exit the pore is determined by the strength of the non-covalent interactions holding it in place. The strong general correlation with hydrophobicity confirms that breaking these contacts is the rate-limiting step. The specific correlation of the</w:t>
      </w:r>
      <w:r>
        <w:rPr>
          <w:rStyle w:val="apple-converted-space"/>
          <w:rFonts w:eastAsiaTheme="majorEastAsia"/>
          <w:color w:val="000000"/>
        </w:rPr>
        <w:t> </w:t>
      </w:r>
      <w:r>
        <w:rPr>
          <w:i/>
          <w:iCs/>
          <w:color w:val="000000"/>
        </w:rPr>
        <w:t>slowest</w:t>
      </w:r>
      <w:r>
        <w:rPr>
          <w:rStyle w:val="apple-converted-space"/>
          <w:rFonts w:eastAsiaTheme="majorEastAsia"/>
          <w:color w:val="000000"/>
        </w:rPr>
        <w:t> </w:t>
      </w:r>
      <w:r>
        <w:rPr>
          <w:color w:val="000000"/>
        </w:rPr>
        <w:t>timescale with aromaticity suggests that aromatic residues can form a particularly stable, long-lived bound state that is especially difficult to break, echoing the findings from your 2005 paper.</w:t>
      </w:r>
    </w:p>
    <w:p w14:paraId="60D41456" w14:textId="77777777" w:rsidR="00BA637A" w:rsidRDefault="00BA637A" w:rsidP="00BA637A">
      <w:pPr>
        <w:pStyle w:val="NormalWeb"/>
        <w:rPr>
          <w:color w:val="000000"/>
        </w:rPr>
      </w:pPr>
      <w:r>
        <w:rPr>
          <w:color w:val="000000"/>
        </w:rPr>
        <w:t>This refined analysis provides a much clearer and more powerful narrative. You've successfully mapped specific physical properties to distinct kinetic steps in the translocation process.</w:t>
      </w:r>
    </w:p>
    <w:p w14:paraId="42275EBE" w14:textId="77777777" w:rsidR="00F84D9B" w:rsidRPr="004279D4" w:rsidRDefault="00F84D9B" w:rsidP="004279D4"/>
    <w:sectPr w:rsidR="00F84D9B" w:rsidRPr="004279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Times">
    <w:altName w:val="Sylfaen"/>
    <w:panose1 w:val="020B0604020202020204"/>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F0D"/>
    <w:multiLevelType w:val="multilevel"/>
    <w:tmpl w:val="181A1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204F63"/>
    <w:multiLevelType w:val="multilevel"/>
    <w:tmpl w:val="9456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10E6D"/>
    <w:multiLevelType w:val="multilevel"/>
    <w:tmpl w:val="53B6C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01425"/>
    <w:multiLevelType w:val="multilevel"/>
    <w:tmpl w:val="28965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B2814"/>
    <w:multiLevelType w:val="multilevel"/>
    <w:tmpl w:val="784C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1649C"/>
    <w:multiLevelType w:val="multilevel"/>
    <w:tmpl w:val="1812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12624"/>
    <w:multiLevelType w:val="multilevel"/>
    <w:tmpl w:val="C396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40210"/>
    <w:multiLevelType w:val="multilevel"/>
    <w:tmpl w:val="9040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B2223"/>
    <w:multiLevelType w:val="multilevel"/>
    <w:tmpl w:val="89B21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EC3AA0"/>
    <w:multiLevelType w:val="multilevel"/>
    <w:tmpl w:val="758C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F700F"/>
    <w:multiLevelType w:val="multilevel"/>
    <w:tmpl w:val="73C85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757AFC"/>
    <w:multiLevelType w:val="multilevel"/>
    <w:tmpl w:val="B922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929F9"/>
    <w:multiLevelType w:val="multilevel"/>
    <w:tmpl w:val="C21E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5630C"/>
    <w:multiLevelType w:val="multilevel"/>
    <w:tmpl w:val="07161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781087"/>
    <w:multiLevelType w:val="multilevel"/>
    <w:tmpl w:val="97AC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347B6D"/>
    <w:multiLevelType w:val="multilevel"/>
    <w:tmpl w:val="9E1C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220D66"/>
    <w:multiLevelType w:val="multilevel"/>
    <w:tmpl w:val="73329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E932B3"/>
    <w:multiLevelType w:val="multilevel"/>
    <w:tmpl w:val="60A2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50484F"/>
    <w:multiLevelType w:val="multilevel"/>
    <w:tmpl w:val="9A9C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DF5735"/>
    <w:multiLevelType w:val="multilevel"/>
    <w:tmpl w:val="A1DE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ED781E"/>
    <w:multiLevelType w:val="multilevel"/>
    <w:tmpl w:val="E09A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2546F5"/>
    <w:multiLevelType w:val="multilevel"/>
    <w:tmpl w:val="D114A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A77FA4"/>
    <w:multiLevelType w:val="multilevel"/>
    <w:tmpl w:val="FABC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161A9B"/>
    <w:multiLevelType w:val="multilevel"/>
    <w:tmpl w:val="D7187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F66F3C"/>
    <w:multiLevelType w:val="multilevel"/>
    <w:tmpl w:val="3E74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297B90"/>
    <w:multiLevelType w:val="multilevel"/>
    <w:tmpl w:val="08725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7825F8"/>
    <w:multiLevelType w:val="multilevel"/>
    <w:tmpl w:val="9798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663539">
    <w:abstractNumId w:val="20"/>
  </w:num>
  <w:num w:numId="2" w16cid:durableId="1044405004">
    <w:abstractNumId w:val="6"/>
  </w:num>
  <w:num w:numId="3" w16cid:durableId="48573314">
    <w:abstractNumId w:val="8"/>
  </w:num>
  <w:num w:numId="4" w16cid:durableId="835190927">
    <w:abstractNumId w:val="21"/>
  </w:num>
  <w:num w:numId="5" w16cid:durableId="1030030930">
    <w:abstractNumId w:val="1"/>
  </w:num>
  <w:num w:numId="6" w16cid:durableId="190460206">
    <w:abstractNumId w:val="12"/>
  </w:num>
  <w:num w:numId="7" w16cid:durableId="135755958">
    <w:abstractNumId w:val="5"/>
  </w:num>
  <w:num w:numId="8" w16cid:durableId="1872062921">
    <w:abstractNumId w:val="9"/>
  </w:num>
  <w:num w:numId="9" w16cid:durableId="2104297322">
    <w:abstractNumId w:val="0"/>
  </w:num>
  <w:num w:numId="10" w16cid:durableId="1439787990">
    <w:abstractNumId w:val="2"/>
  </w:num>
  <w:num w:numId="11" w16cid:durableId="2129735334">
    <w:abstractNumId w:val="16"/>
  </w:num>
  <w:num w:numId="12" w16cid:durableId="137458972">
    <w:abstractNumId w:val="4"/>
  </w:num>
  <w:num w:numId="13" w16cid:durableId="1507478264">
    <w:abstractNumId w:val="24"/>
  </w:num>
  <w:num w:numId="14" w16cid:durableId="834296968">
    <w:abstractNumId w:val="17"/>
  </w:num>
  <w:num w:numId="15" w16cid:durableId="578054671">
    <w:abstractNumId w:val="22"/>
  </w:num>
  <w:num w:numId="16" w16cid:durableId="1088312203">
    <w:abstractNumId w:val="14"/>
  </w:num>
  <w:num w:numId="17" w16cid:durableId="1944801396">
    <w:abstractNumId w:val="7"/>
  </w:num>
  <w:num w:numId="18" w16cid:durableId="1872962267">
    <w:abstractNumId w:val="15"/>
  </w:num>
  <w:num w:numId="19" w16cid:durableId="1051879678">
    <w:abstractNumId w:val="18"/>
  </w:num>
  <w:num w:numId="20" w16cid:durableId="1858887932">
    <w:abstractNumId w:val="19"/>
  </w:num>
  <w:num w:numId="21" w16cid:durableId="858935602">
    <w:abstractNumId w:val="26"/>
  </w:num>
  <w:num w:numId="22" w16cid:durableId="1984891329">
    <w:abstractNumId w:val="10"/>
  </w:num>
  <w:num w:numId="23" w16cid:durableId="1019939651">
    <w:abstractNumId w:val="11"/>
  </w:num>
  <w:num w:numId="24" w16cid:durableId="1346637008">
    <w:abstractNumId w:val="25"/>
  </w:num>
  <w:num w:numId="25" w16cid:durableId="70548660">
    <w:abstractNumId w:val="13"/>
  </w:num>
  <w:num w:numId="26" w16cid:durableId="2068070264">
    <w:abstractNumId w:val="23"/>
  </w:num>
  <w:num w:numId="27" w16cid:durableId="5795568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12D"/>
    <w:rsid w:val="000441E6"/>
    <w:rsid w:val="000705C3"/>
    <w:rsid w:val="000B17D5"/>
    <w:rsid w:val="00145CCF"/>
    <w:rsid w:val="00173181"/>
    <w:rsid w:val="00185B92"/>
    <w:rsid w:val="001B31C7"/>
    <w:rsid w:val="002137A7"/>
    <w:rsid w:val="0022063C"/>
    <w:rsid w:val="00263BDC"/>
    <w:rsid w:val="002814EF"/>
    <w:rsid w:val="002A6903"/>
    <w:rsid w:val="002B35A4"/>
    <w:rsid w:val="002E088C"/>
    <w:rsid w:val="00302F0A"/>
    <w:rsid w:val="00342861"/>
    <w:rsid w:val="00347AA4"/>
    <w:rsid w:val="00373C28"/>
    <w:rsid w:val="0041249E"/>
    <w:rsid w:val="004279D4"/>
    <w:rsid w:val="0044137C"/>
    <w:rsid w:val="00474C53"/>
    <w:rsid w:val="00481413"/>
    <w:rsid w:val="004B385A"/>
    <w:rsid w:val="004D2201"/>
    <w:rsid w:val="004E67F4"/>
    <w:rsid w:val="004E6F3E"/>
    <w:rsid w:val="004F7761"/>
    <w:rsid w:val="00527013"/>
    <w:rsid w:val="00546ADE"/>
    <w:rsid w:val="005474E9"/>
    <w:rsid w:val="00556210"/>
    <w:rsid w:val="00584B1B"/>
    <w:rsid w:val="00596508"/>
    <w:rsid w:val="005C5D50"/>
    <w:rsid w:val="005C6F95"/>
    <w:rsid w:val="00641466"/>
    <w:rsid w:val="006F091E"/>
    <w:rsid w:val="00723B8B"/>
    <w:rsid w:val="007A7C3B"/>
    <w:rsid w:val="007B0285"/>
    <w:rsid w:val="008076FE"/>
    <w:rsid w:val="00835573"/>
    <w:rsid w:val="0084764A"/>
    <w:rsid w:val="00860CEA"/>
    <w:rsid w:val="00897701"/>
    <w:rsid w:val="008978B1"/>
    <w:rsid w:val="008B37ED"/>
    <w:rsid w:val="008B4900"/>
    <w:rsid w:val="008D0B04"/>
    <w:rsid w:val="00902029"/>
    <w:rsid w:val="0092151B"/>
    <w:rsid w:val="00924642"/>
    <w:rsid w:val="00930747"/>
    <w:rsid w:val="00945152"/>
    <w:rsid w:val="00992892"/>
    <w:rsid w:val="009B0FF8"/>
    <w:rsid w:val="00A013C2"/>
    <w:rsid w:val="00AA1224"/>
    <w:rsid w:val="00B32423"/>
    <w:rsid w:val="00BA637A"/>
    <w:rsid w:val="00BD312D"/>
    <w:rsid w:val="00BD6886"/>
    <w:rsid w:val="00C76AB6"/>
    <w:rsid w:val="00C96A44"/>
    <w:rsid w:val="00CC3F9C"/>
    <w:rsid w:val="00D07078"/>
    <w:rsid w:val="00D54962"/>
    <w:rsid w:val="00D672F5"/>
    <w:rsid w:val="00D77C53"/>
    <w:rsid w:val="00D80170"/>
    <w:rsid w:val="00D958E8"/>
    <w:rsid w:val="00DC1EF1"/>
    <w:rsid w:val="00E16AB6"/>
    <w:rsid w:val="00E27F8A"/>
    <w:rsid w:val="00E77C9B"/>
    <w:rsid w:val="00E8154F"/>
    <w:rsid w:val="00F05720"/>
    <w:rsid w:val="00F078B8"/>
    <w:rsid w:val="00F56CA6"/>
    <w:rsid w:val="00F84D9B"/>
    <w:rsid w:val="00FD6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C984D"/>
  <w15:chartTrackingRefBased/>
  <w15:docId w15:val="{CDCE933E-55E9-D045-A4F8-AFEEE81C7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C2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D31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31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31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1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1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1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1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1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1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1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31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31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1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1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12D"/>
    <w:rPr>
      <w:rFonts w:eastAsiaTheme="majorEastAsia" w:cstheme="majorBidi"/>
      <w:color w:val="272727" w:themeColor="text1" w:themeTint="D8"/>
    </w:rPr>
  </w:style>
  <w:style w:type="paragraph" w:styleId="Title">
    <w:name w:val="Title"/>
    <w:basedOn w:val="Normal"/>
    <w:next w:val="Normal"/>
    <w:link w:val="TitleChar"/>
    <w:uiPriority w:val="10"/>
    <w:qFormat/>
    <w:rsid w:val="00BD31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12D"/>
    <w:pPr>
      <w:spacing w:before="160"/>
      <w:jc w:val="center"/>
    </w:pPr>
    <w:rPr>
      <w:i/>
      <w:iCs/>
      <w:color w:val="404040" w:themeColor="text1" w:themeTint="BF"/>
    </w:rPr>
  </w:style>
  <w:style w:type="character" w:customStyle="1" w:styleId="QuoteChar">
    <w:name w:val="Quote Char"/>
    <w:basedOn w:val="DefaultParagraphFont"/>
    <w:link w:val="Quote"/>
    <w:uiPriority w:val="29"/>
    <w:rsid w:val="00BD312D"/>
    <w:rPr>
      <w:i/>
      <w:iCs/>
      <w:color w:val="404040" w:themeColor="text1" w:themeTint="BF"/>
    </w:rPr>
  </w:style>
  <w:style w:type="paragraph" w:styleId="ListParagraph">
    <w:name w:val="List Paragraph"/>
    <w:basedOn w:val="Normal"/>
    <w:uiPriority w:val="34"/>
    <w:qFormat/>
    <w:rsid w:val="00BD312D"/>
    <w:pPr>
      <w:ind w:left="720"/>
      <w:contextualSpacing/>
    </w:pPr>
  </w:style>
  <w:style w:type="character" w:styleId="IntenseEmphasis">
    <w:name w:val="Intense Emphasis"/>
    <w:basedOn w:val="DefaultParagraphFont"/>
    <w:uiPriority w:val="21"/>
    <w:qFormat/>
    <w:rsid w:val="00BD312D"/>
    <w:rPr>
      <w:i/>
      <w:iCs/>
      <w:color w:val="0F4761" w:themeColor="accent1" w:themeShade="BF"/>
    </w:rPr>
  </w:style>
  <w:style w:type="paragraph" w:styleId="IntenseQuote">
    <w:name w:val="Intense Quote"/>
    <w:basedOn w:val="Normal"/>
    <w:next w:val="Normal"/>
    <w:link w:val="IntenseQuoteChar"/>
    <w:uiPriority w:val="30"/>
    <w:qFormat/>
    <w:rsid w:val="00BD3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12D"/>
    <w:rPr>
      <w:i/>
      <w:iCs/>
      <w:color w:val="0F4761" w:themeColor="accent1" w:themeShade="BF"/>
    </w:rPr>
  </w:style>
  <w:style w:type="character" w:styleId="IntenseReference">
    <w:name w:val="Intense Reference"/>
    <w:basedOn w:val="DefaultParagraphFont"/>
    <w:uiPriority w:val="32"/>
    <w:qFormat/>
    <w:rsid w:val="00BD312D"/>
    <w:rPr>
      <w:b/>
      <w:bCs/>
      <w:smallCaps/>
      <w:color w:val="0F4761" w:themeColor="accent1" w:themeShade="BF"/>
      <w:spacing w:val="5"/>
    </w:rPr>
  </w:style>
  <w:style w:type="paragraph" w:styleId="NormalWeb">
    <w:name w:val="Normal (Web)"/>
    <w:basedOn w:val="Normal"/>
    <w:uiPriority w:val="99"/>
    <w:semiHidden/>
    <w:unhideWhenUsed/>
    <w:rsid w:val="00BD312D"/>
    <w:pPr>
      <w:spacing w:before="100" w:beforeAutospacing="1" w:after="100" w:afterAutospacing="1"/>
    </w:pPr>
  </w:style>
  <w:style w:type="character" w:customStyle="1" w:styleId="apple-converted-space">
    <w:name w:val="apple-converted-space"/>
    <w:basedOn w:val="DefaultParagraphFont"/>
    <w:rsid w:val="00BD312D"/>
  </w:style>
  <w:style w:type="character" w:customStyle="1" w:styleId="mord">
    <w:name w:val="mord"/>
    <w:basedOn w:val="DefaultParagraphFont"/>
    <w:rsid w:val="00BD312D"/>
  </w:style>
  <w:style w:type="character" w:customStyle="1" w:styleId="mopen">
    <w:name w:val="mopen"/>
    <w:basedOn w:val="DefaultParagraphFont"/>
    <w:rsid w:val="00BD312D"/>
  </w:style>
  <w:style w:type="character" w:customStyle="1" w:styleId="mclose">
    <w:name w:val="mclose"/>
    <w:basedOn w:val="DefaultParagraphFont"/>
    <w:rsid w:val="00BD312D"/>
  </w:style>
  <w:style w:type="character" w:customStyle="1" w:styleId="label">
    <w:name w:val="label"/>
    <w:basedOn w:val="DefaultParagraphFont"/>
    <w:rsid w:val="00BD312D"/>
  </w:style>
  <w:style w:type="character" w:styleId="HTMLCode">
    <w:name w:val="HTML Code"/>
    <w:basedOn w:val="DefaultParagraphFont"/>
    <w:uiPriority w:val="99"/>
    <w:semiHidden/>
    <w:unhideWhenUsed/>
    <w:rsid w:val="00945152"/>
    <w:rPr>
      <w:rFonts w:ascii="Courier New" w:eastAsia="Times New Roman" w:hAnsi="Courier New" w:cs="Courier New"/>
      <w:sz w:val="20"/>
      <w:szCs w:val="20"/>
    </w:rPr>
  </w:style>
  <w:style w:type="character" w:customStyle="1" w:styleId="vlist-s">
    <w:name w:val="vlist-s"/>
    <w:basedOn w:val="DefaultParagraphFont"/>
    <w:rsid w:val="00945152"/>
  </w:style>
  <w:style w:type="character" w:customStyle="1" w:styleId="mpunct">
    <w:name w:val="mpunct"/>
    <w:basedOn w:val="DefaultParagraphFont"/>
    <w:rsid w:val="00992892"/>
  </w:style>
  <w:style w:type="character" w:customStyle="1" w:styleId="mrel">
    <w:name w:val="mrel"/>
    <w:basedOn w:val="DefaultParagraphFont"/>
    <w:rsid w:val="00992892"/>
  </w:style>
  <w:style w:type="character" w:customStyle="1" w:styleId="mop">
    <w:name w:val="mop"/>
    <w:basedOn w:val="DefaultParagraphFont"/>
    <w:rsid w:val="00992892"/>
  </w:style>
  <w:style w:type="character" w:customStyle="1" w:styleId="ng-tns-c2641055084-43">
    <w:name w:val="ng-tns-c2641055084-43"/>
    <w:basedOn w:val="DefaultParagraphFont"/>
    <w:rsid w:val="000B17D5"/>
  </w:style>
  <w:style w:type="paragraph" w:styleId="HTMLPreformatted">
    <w:name w:val="HTML Preformatted"/>
    <w:basedOn w:val="Normal"/>
    <w:link w:val="HTMLPreformattedChar"/>
    <w:uiPriority w:val="99"/>
    <w:semiHidden/>
    <w:unhideWhenUsed/>
    <w:rsid w:val="000B1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B17D5"/>
    <w:rPr>
      <w:rFonts w:ascii="Courier New" w:eastAsia="Times New Roman" w:hAnsi="Courier New" w:cs="Courier New"/>
      <w:kern w:val="0"/>
      <w:sz w:val="20"/>
      <w:szCs w:val="20"/>
      <w14:ligatures w14:val="none"/>
    </w:rPr>
  </w:style>
  <w:style w:type="character" w:customStyle="1" w:styleId="hljs-function">
    <w:name w:val="hljs-function"/>
    <w:basedOn w:val="DefaultParagraphFont"/>
    <w:rsid w:val="000B17D5"/>
  </w:style>
  <w:style w:type="character" w:customStyle="1" w:styleId="hljs-keyword">
    <w:name w:val="hljs-keyword"/>
    <w:basedOn w:val="DefaultParagraphFont"/>
    <w:rsid w:val="000B17D5"/>
  </w:style>
  <w:style w:type="character" w:customStyle="1" w:styleId="hljs-title">
    <w:name w:val="hljs-title"/>
    <w:basedOn w:val="DefaultParagraphFont"/>
    <w:rsid w:val="000B17D5"/>
  </w:style>
  <w:style w:type="character" w:customStyle="1" w:styleId="hljs-params">
    <w:name w:val="hljs-params"/>
    <w:basedOn w:val="DefaultParagraphFont"/>
    <w:rsid w:val="000B17D5"/>
  </w:style>
  <w:style w:type="character" w:customStyle="1" w:styleId="hljs-comment">
    <w:name w:val="hljs-comment"/>
    <w:basedOn w:val="DefaultParagraphFont"/>
    <w:rsid w:val="000B17D5"/>
  </w:style>
  <w:style w:type="character" w:customStyle="1" w:styleId="hljs-builtin">
    <w:name w:val="hljs-built_in"/>
    <w:basedOn w:val="DefaultParagraphFont"/>
    <w:rsid w:val="000B17D5"/>
  </w:style>
  <w:style w:type="character" w:customStyle="1" w:styleId="hljs-number">
    <w:name w:val="hljs-number"/>
    <w:basedOn w:val="DefaultParagraphFont"/>
    <w:rsid w:val="000B17D5"/>
  </w:style>
  <w:style w:type="character" w:customStyle="1" w:styleId="hljs-string">
    <w:name w:val="hljs-string"/>
    <w:basedOn w:val="DefaultParagraphFont"/>
    <w:rsid w:val="000B17D5"/>
  </w:style>
  <w:style w:type="character" w:customStyle="1" w:styleId="ng-tns-c2641055084-44">
    <w:name w:val="ng-tns-c2641055084-44"/>
    <w:basedOn w:val="DefaultParagraphFont"/>
    <w:rsid w:val="000B17D5"/>
  </w:style>
  <w:style w:type="character" w:customStyle="1" w:styleId="export-sheets-button">
    <w:name w:val="export-sheets-button"/>
    <w:basedOn w:val="DefaultParagraphFont"/>
    <w:rsid w:val="000B17D5"/>
  </w:style>
  <w:style w:type="character" w:customStyle="1" w:styleId="wwdjyf">
    <w:name w:val="wwdjyf"/>
    <w:basedOn w:val="DefaultParagraphFont"/>
    <w:rsid w:val="004279D4"/>
  </w:style>
  <w:style w:type="character" w:customStyle="1" w:styleId="vkekvd">
    <w:name w:val="vkekvd"/>
    <w:basedOn w:val="DefaultParagraphFont"/>
    <w:rsid w:val="004279D4"/>
  </w:style>
  <w:style w:type="character" w:customStyle="1" w:styleId="t286pc">
    <w:name w:val="t286pc"/>
    <w:basedOn w:val="DefaultParagraphFont"/>
    <w:rsid w:val="004279D4"/>
  </w:style>
  <w:style w:type="character" w:styleId="Emphasis">
    <w:name w:val="Emphasis"/>
    <w:basedOn w:val="DefaultParagraphFont"/>
    <w:uiPriority w:val="20"/>
    <w:qFormat/>
    <w:rsid w:val="004279D4"/>
    <w:rPr>
      <w:i/>
      <w:iCs/>
    </w:rPr>
  </w:style>
  <w:style w:type="character" w:customStyle="1" w:styleId="ppiz3">
    <w:name w:val="ppiz3"/>
    <w:basedOn w:val="DefaultParagraphFont"/>
    <w:rsid w:val="00F84D9B"/>
  </w:style>
  <w:style w:type="character" w:styleId="Hyperlink">
    <w:name w:val="Hyperlink"/>
    <w:basedOn w:val="DefaultParagraphFont"/>
    <w:uiPriority w:val="99"/>
    <w:semiHidden/>
    <w:unhideWhenUsed/>
    <w:rsid w:val="00AA1224"/>
    <w:rPr>
      <w:color w:val="0000FF"/>
      <w:u w:val="single"/>
    </w:rPr>
  </w:style>
  <w:style w:type="character" w:customStyle="1" w:styleId="mtejhd">
    <w:name w:val="mtejhd"/>
    <w:basedOn w:val="DefaultParagraphFont"/>
    <w:rsid w:val="00D54962"/>
  </w:style>
  <w:style w:type="character" w:customStyle="1" w:styleId="creation-timestamp">
    <w:name w:val="creation-timestamp"/>
    <w:basedOn w:val="DefaultParagraphFont"/>
    <w:rsid w:val="001731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ources.qiagenbioinformatics.com/manuals/clcgenomicsworkbench/650/index.php?manual=Bibliography.html" TargetMode="External"/><Relationship Id="rId13" Type="http://schemas.openxmlformats.org/officeDocument/2006/relationships/hyperlink" Target="https://resources.qiagenbioinformatics.com/manuals/clcgenomicsworkbench/650/index.php?manual=Bibliography.html" TargetMode="External"/><Relationship Id="rId3" Type="http://schemas.openxmlformats.org/officeDocument/2006/relationships/settings" Target="settings.xml"/><Relationship Id="rId7" Type="http://schemas.openxmlformats.org/officeDocument/2006/relationships/hyperlink" Target="https://resources.qiagenbioinformatics.com/manuals/clcgenomicsworkbench/650/index.php?manual=Bibliography.html" TargetMode="External"/><Relationship Id="rId12" Type="http://schemas.openxmlformats.org/officeDocument/2006/relationships/hyperlink" Target="https://resources.qiagenbioinformatics.com/manuals/clcgenomicsworkbench/650/index.php?manual=Bibliography.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resources.qiagenbioinformatics.com/manuals/clcgenomicsworkbench/650/index.php?manual=Bibliography.html" TargetMode="External"/><Relationship Id="rId11" Type="http://schemas.openxmlformats.org/officeDocument/2006/relationships/hyperlink" Target="https://resources.qiagenbioinformatics.com/manuals/clcgenomicsworkbench/650/index.php?manual=Bibliography.html" TargetMode="External"/><Relationship Id="rId5" Type="http://schemas.openxmlformats.org/officeDocument/2006/relationships/hyperlink" Target="https://resources.qiagenbioinformatics.com/manuals/clcgenomicsworkbench/650/index.php?manual=Bibliography.html" TargetMode="External"/><Relationship Id="rId15" Type="http://schemas.openxmlformats.org/officeDocument/2006/relationships/fontTable" Target="fontTable.xml"/><Relationship Id="rId10" Type="http://schemas.openxmlformats.org/officeDocument/2006/relationships/hyperlink" Target="https://resources.qiagenbioinformatics.com/manuals/clcgenomicsworkbench/650/index.php?manual=Bibliography.html" TargetMode="External"/><Relationship Id="rId4" Type="http://schemas.openxmlformats.org/officeDocument/2006/relationships/webSettings" Target="webSettings.xml"/><Relationship Id="rId9" Type="http://schemas.openxmlformats.org/officeDocument/2006/relationships/hyperlink" Target="https://resources.qiagenbioinformatics.com/manuals/clcgenomicsworkbench/650/index.php?manual=Bibliography.html" TargetMode="External"/><Relationship Id="rId1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16</Pages>
  <Words>4033</Words>
  <Characters>22991</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Krantz</dc:creator>
  <cp:keywords/>
  <dc:description/>
  <cp:lastModifiedBy>Bryan Krantz</cp:lastModifiedBy>
  <cp:revision>3</cp:revision>
  <dcterms:created xsi:type="dcterms:W3CDTF">2025-09-08T18:43:00Z</dcterms:created>
  <dcterms:modified xsi:type="dcterms:W3CDTF">2025-09-09T21:44:00Z</dcterms:modified>
</cp:coreProperties>
</file>