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71BD" w14:textId="77777777" w:rsidR="007B1517" w:rsidRPr="007B1517" w:rsidRDefault="007B1517" w:rsidP="007B1517">
      <w:pPr>
        <w:rPr>
          <w:b/>
          <w:bCs/>
        </w:rPr>
      </w:pPr>
      <w:r w:rsidRPr="007B1517">
        <w:rPr>
          <w:b/>
          <w:bCs/>
        </w:rPr>
        <w:t>GIA Strategic Project Discovery — Technical Process Report</w:t>
      </w:r>
    </w:p>
    <w:p w14:paraId="510025B8" w14:textId="77777777" w:rsidR="007B1517" w:rsidRPr="007B1517" w:rsidRDefault="007B1517" w:rsidP="007B1517">
      <w:r w:rsidRPr="007B1517">
        <w:pict w14:anchorId="2A7A6F53">
          <v:rect id="_x0000_i1103" style="width:0;height:0" o:hralign="center" o:hrstd="t" o:hr="t" fillcolor="#a0a0a0" stroked="f"/>
        </w:pict>
      </w:r>
    </w:p>
    <w:p w14:paraId="0DB3EE52" w14:textId="77777777" w:rsidR="007B1517" w:rsidRPr="007B1517" w:rsidRDefault="007B1517" w:rsidP="007B1517">
      <w:pPr>
        <w:rPr>
          <w:b/>
          <w:bCs/>
        </w:rPr>
      </w:pPr>
      <w:r w:rsidRPr="007B1517">
        <w:rPr>
          <w:b/>
          <w:bCs/>
        </w:rPr>
        <w:t>1. Purpose and Concept</w:t>
      </w:r>
    </w:p>
    <w:p w14:paraId="4ACA7789" w14:textId="77777777" w:rsidR="007B1517" w:rsidRPr="007B1517" w:rsidRDefault="007B1517" w:rsidP="007B1517">
      <w:r w:rsidRPr="007B1517">
        <w:t>The GIA Strategic Project Discovery tool is a single-page web application designed to help Global Infrastructure Advisors (GIA) identify large-scale infrastructure procurement opportunities at the earliest possible stage — before they become widely competitive. The core thesis is that early awareness enables early positioning: teaming conversations, client relationships and bid strategy can begin months before a tender formally opens.</w:t>
      </w:r>
    </w:p>
    <w:p w14:paraId="5458A201" w14:textId="77777777" w:rsidR="007B1517" w:rsidRPr="007B1517" w:rsidRDefault="007B1517" w:rsidP="007B1517">
      <w:r w:rsidRPr="007B1517">
        <w:t>The tool automates what would otherwise be a manual research process across hundreds of procurement portals, press sources and databases. It does this by delegating the search to a large language model (Google Gemini 2.5 Flash) with real-time Google Search grounding, wrapping the output in structured data fields, and presenting results inside a dashboard interface.</w:t>
      </w:r>
    </w:p>
    <w:p w14:paraId="674BD508" w14:textId="77777777" w:rsidR="007B1517" w:rsidRPr="007B1517" w:rsidRDefault="007B1517" w:rsidP="007B1517">
      <w:r w:rsidRPr="007B1517">
        <w:pict w14:anchorId="360D91FA">
          <v:rect id="_x0000_i1104" style="width:0;height:0" o:hralign="center" o:hrstd="t" o:hr="t" fillcolor="#a0a0a0" stroked="f"/>
        </w:pict>
      </w:r>
    </w:p>
    <w:p w14:paraId="6338777C" w14:textId="77777777" w:rsidR="007B1517" w:rsidRPr="007B1517" w:rsidRDefault="007B1517" w:rsidP="007B1517">
      <w:pPr>
        <w:rPr>
          <w:b/>
          <w:bCs/>
        </w:rPr>
      </w:pPr>
      <w:r w:rsidRPr="007B1517">
        <w:rPr>
          <w:b/>
          <w:bCs/>
        </w:rPr>
        <w:t>2. What Is a "GIA Project"?</w:t>
      </w:r>
    </w:p>
    <w:p w14:paraId="084CB940" w14:textId="77777777" w:rsidR="007B1517" w:rsidRPr="007B1517" w:rsidRDefault="007B1517" w:rsidP="007B1517">
      <w:r w:rsidRPr="007B1517">
        <w:t>The tool operates with a defined internal concept of what constitutes a relevant opportunity, called a </w:t>
      </w:r>
      <w:r w:rsidRPr="007B1517">
        <w:rPr>
          <w:b/>
          <w:bCs/>
        </w:rPr>
        <w:t>GIA-category project</w:t>
      </w:r>
      <w:r w:rsidRPr="007B1517">
        <w:t> (GIA standing for "Global Iconic Architecture"). Three criteria define the threshold:</w:t>
      </w:r>
    </w:p>
    <w:p w14:paraId="026B80A1" w14:textId="77777777" w:rsidR="007B1517" w:rsidRPr="007B1517" w:rsidRDefault="007B1517" w:rsidP="007B1517">
      <w:r w:rsidRPr="007B1517">
        <w:rPr>
          <w:b/>
          <w:bCs/>
        </w:rPr>
        <w:t>Scale</w:t>
      </w:r>
      <w:r w:rsidRPr="007B1517">
        <w:br/>
        <w:t>Minimum project value of $50M. Below this threshold, projects rarely carry the complexity or ambition that characterises GIA work. The figure is hard-coded into the AI prompt as a filter.</w:t>
      </w:r>
    </w:p>
    <w:p w14:paraId="713252B0" w14:textId="77777777" w:rsidR="007B1517" w:rsidRPr="007B1517" w:rsidRDefault="007B1517" w:rsidP="007B1517">
      <w:r w:rsidRPr="007B1517">
        <w:rPr>
          <w:b/>
          <w:bCs/>
        </w:rPr>
        <w:t>Character</w:t>
      </w:r>
      <w:r w:rsidRPr="007B1517">
        <w:br/>
        <w:t>Projects are not just large — they must have architectural ambition or civic significance. A $100M iconic cultural building ranks above a $500M routine road resurfacing framework. The AI is explicitly instructed to weight ambition alongside capital value, and to exclude repetitive low-complexity maintenance contracts, routine goods procurement, and sub-threshold works packages.</w:t>
      </w:r>
    </w:p>
    <w:p w14:paraId="329B1E9B" w14:textId="77777777" w:rsidR="007B1517" w:rsidRPr="007B1517" w:rsidRDefault="007B1517" w:rsidP="007B1517">
      <w:r w:rsidRPr="007B1517">
        <w:rPr>
          <w:b/>
          <w:bCs/>
        </w:rPr>
        <w:t>Procurement Stage</w:t>
      </w:r>
      <w:r w:rsidRPr="007B1517">
        <w:br/>
        <w:t>The tool targets four stages: Pipeline (publicly announced but not yet in procurement), Procurement (PQQ/EOI/ITT issued or imminent), Live Tender (formal tender open), and Awarded (contract publicly awarded, included for market intelligence only). The primary value of the tool is in the Pipeline and Procurement stages — before the tender is formally live.</w:t>
      </w:r>
    </w:p>
    <w:p w14:paraId="03F1E3AC" w14:textId="77777777" w:rsidR="007B1517" w:rsidRPr="007B1517" w:rsidRDefault="007B1517" w:rsidP="007B1517">
      <w:r w:rsidRPr="007B1517">
        <w:pict w14:anchorId="41A600F5">
          <v:rect id="_x0000_i1105" style="width:0;height:0" o:hralign="center" o:hrstd="t" o:hr="t" fillcolor="#a0a0a0" stroked="f"/>
        </w:pict>
      </w:r>
    </w:p>
    <w:p w14:paraId="71B7FC46" w14:textId="77777777" w:rsidR="007B1517" w:rsidRPr="007B1517" w:rsidRDefault="007B1517" w:rsidP="007B1517">
      <w:pPr>
        <w:rPr>
          <w:b/>
          <w:bCs/>
        </w:rPr>
      </w:pPr>
      <w:r w:rsidRPr="007B1517">
        <w:rPr>
          <w:b/>
          <w:bCs/>
        </w:rPr>
        <w:t>3. Sector Selection and Definition</w:t>
      </w:r>
    </w:p>
    <w:p w14:paraId="3A55EB83" w14:textId="77777777" w:rsidR="007B1517" w:rsidRPr="007B1517" w:rsidRDefault="007B1517" w:rsidP="007B1517">
      <w:pPr>
        <w:rPr>
          <w:b/>
          <w:bCs/>
        </w:rPr>
      </w:pPr>
      <w:r w:rsidRPr="007B1517">
        <w:rPr>
          <w:b/>
          <w:bCs/>
        </w:rPr>
        <w:t>3.1 Why These Seven Sectors</w:t>
      </w:r>
    </w:p>
    <w:p w14:paraId="0D38D197" w14:textId="77777777" w:rsidR="007B1517" w:rsidRPr="007B1517" w:rsidRDefault="007B1517" w:rsidP="007B1517">
      <w:r w:rsidRPr="007B1517">
        <w:t>The seven sectors were selected to reflect the current strategic focus areas of GIA's practice — the types of infrastructure project where GIA has sector expertise, a track record, and a realistic prospect of winning work. They are not an exhaustive taxonomy of all infrastructure; they are a targeted list calibrated to the firm's competitive positioning.</w:t>
      </w:r>
    </w:p>
    <w:p w14:paraId="57CD4EE4" w14:textId="77777777" w:rsidR="007B1517" w:rsidRPr="007B1517" w:rsidRDefault="007B1517" w:rsidP="007B1517">
      <w:r w:rsidRPr="007B1517">
        <w:lastRenderedPageBreak/>
        <w:t>The sectors are:</w:t>
      </w:r>
    </w:p>
    <w:p w14:paraId="7A587424" w14:textId="77777777" w:rsidR="007B1517" w:rsidRPr="007B1517" w:rsidRDefault="007B1517" w:rsidP="007B1517">
      <w:pPr>
        <w:numPr>
          <w:ilvl w:val="0"/>
          <w:numId w:val="1"/>
        </w:numPr>
      </w:pPr>
      <w:r w:rsidRPr="007B1517">
        <w:rPr>
          <w:b/>
          <w:bCs/>
        </w:rPr>
        <w:t>High Speed Rail &amp; Metro</w:t>
      </w:r>
      <w:r w:rsidRPr="007B1517">
        <w:t> — Fixed-guideway rapid transit</w:t>
      </w:r>
    </w:p>
    <w:p w14:paraId="2E6C77D3" w14:textId="77777777" w:rsidR="007B1517" w:rsidRPr="007B1517" w:rsidRDefault="007B1517" w:rsidP="007B1517">
      <w:pPr>
        <w:numPr>
          <w:ilvl w:val="0"/>
          <w:numId w:val="1"/>
        </w:numPr>
      </w:pPr>
      <w:r w:rsidRPr="007B1517">
        <w:rPr>
          <w:b/>
          <w:bCs/>
        </w:rPr>
        <w:t>Transit-Oriented Development</w:t>
      </w:r>
      <w:r w:rsidRPr="007B1517">
        <w:t> — Mixed-use urban intensification around transit nodes</w:t>
      </w:r>
    </w:p>
    <w:p w14:paraId="123D9F1D" w14:textId="77777777" w:rsidR="007B1517" w:rsidRPr="007B1517" w:rsidRDefault="007B1517" w:rsidP="007B1517">
      <w:pPr>
        <w:numPr>
          <w:ilvl w:val="0"/>
          <w:numId w:val="1"/>
        </w:numPr>
      </w:pPr>
      <w:r w:rsidRPr="007B1517">
        <w:rPr>
          <w:b/>
          <w:bCs/>
        </w:rPr>
        <w:t xml:space="preserve">Urban Regeneration &amp; </w:t>
      </w:r>
      <w:proofErr w:type="spellStart"/>
      <w:r w:rsidRPr="007B1517">
        <w:rPr>
          <w:b/>
          <w:bCs/>
        </w:rPr>
        <w:t>Masterplanning</w:t>
      </w:r>
      <w:proofErr w:type="spellEnd"/>
      <w:r w:rsidRPr="007B1517">
        <w:t> — Large-scale brownfield, waterfront and post-industrial renewal</w:t>
      </w:r>
    </w:p>
    <w:p w14:paraId="610DDD9F" w14:textId="77777777" w:rsidR="007B1517" w:rsidRPr="007B1517" w:rsidRDefault="007B1517" w:rsidP="007B1517">
      <w:pPr>
        <w:numPr>
          <w:ilvl w:val="0"/>
          <w:numId w:val="1"/>
        </w:numPr>
      </w:pPr>
      <w:r w:rsidRPr="007B1517">
        <w:rPr>
          <w:b/>
          <w:bCs/>
        </w:rPr>
        <w:t>Data Centres &amp; Tech Infrastructure</w:t>
      </w:r>
      <w:r w:rsidRPr="007B1517">
        <w:t> — Digital and compute infrastructure</w:t>
      </w:r>
    </w:p>
    <w:p w14:paraId="6BFBFE8A" w14:textId="77777777" w:rsidR="007B1517" w:rsidRPr="007B1517" w:rsidRDefault="007B1517" w:rsidP="007B1517">
      <w:pPr>
        <w:numPr>
          <w:ilvl w:val="0"/>
          <w:numId w:val="1"/>
        </w:numPr>
      </w:pPr>
      <w:r w:rsidRPr="007B1517">
        <w:rPr>
          <w:b/>
          <w:bCs/>
        </w:rPr>
        <w:t>Ports &amp; Maritime Infrastructure</w:t>
      </w:r>
      <w:r w:rsidRPr="007B1517">
        <w:t> — Seaport, inland and offshore marine</w:t>
      </w:r>
    </w:p>
    <w:p w14:paraId="3D60F5E9" w14:textId="77777777" w:rsidR="007B1517" w:rsidRPr="007B1517" w:rsidRDefault="007B1517" w:rsidP="007B1517">
      <w:pPr>
        <w:numPr>
          <w:ilvl w:val="0"/>
          <w:numId w:val="1"/>
        </w:numPr>
      </w:pPr>
      <w:r w:rsidRPr="007B1517">
        <w:rPr>
          <w:b/>
          <w:bCs/>
        </w:rPr>
        <w:t>Mega Projects &amp; National Programmes</w:t>
      </w:r>
      <w:r w:rsidRPr="007B1517">
        <w:t> — Strategic national capital investment, new cities, economic zones</w:t>
      </w:r>
    </w:p>
    <w:p w14:paraId="4BC6B633" w14:textId="77777777" w:rsidR="007B1517" w:rsidRPr="007B1517" w:rsidRDefault="007B1517" w:rsidP="007B1517">
      <w:pPr>
        <w:numPr>
          <w:ilvl w:val="0"/>
          <w:numId w:val="1"/>
        </w:numPr>
      </w:pPr>
      <w:r w:rsidRPr="007B1517">
        <w:rPr>
          <w:b/>
          <w:bCs/>
        </w:rPr>
        <w:t>Energy, Water &amp; Sustainability</w:t>
      </w:r>
      <w:r w:rsidRPr="007B1517">
        <w:t> — MEP engineering, environmental systems and sustainability consultancy</w:t>
      </w:r>
    </w:p>
    <w:p w14:paraId="2148921A" w14:textId="77777777" w:rsidR="007B1517" w:rsidRPr="007B1517" w:rsidRDefault="007B1517" w:rsidP="007B1517">
      <w:pPr>
        <w:rPr>
          <w:b/>
          <w:bCs/>
        </w:rPr>
      </w:pPr>
      <w:r w:rsidRPr="007B1517">
        <w:rPr>
          <w:b/>
          <w:bCs/>
        </w:rPr>
        <w:t>3.2 How Each Sector Is Defined</w:t>
      </w:r>
    </w:p>
    <w:p w14:paraId="7819C589" w14:textId="77777777" w:rsidR="007B1517" w:rsidRPr="007B1517" w:rsidRDefault="007B1517" w:rsidP="007B1517">
      <w:r w:rsidRPr="007B1517">
        <w:t>Each sector has four components encoded directly in the application:</w:t>
      </w:r>
    </w:p>
    <w:p w14:paraId="0FBC0DA9" w14:textId="77777777" w:rsidR="007B1517" w:rsidRPr="007B1517" w:rsidRDefault="007B1517" w:rsidP="007B1517">
      <w:r w:rsidRPr="007B1517">
        <w:rPr>
          <w:b/>
          <w:bCs/>
        </w:rPr>
        <w:t>Name and Tagline</w:t>
      </w:r>
      <w:r w:rsidRPr="007B1517">
        <w:t> — A short label and a one-line descriptor used in the UI and embedded in the AI prompt to establish context.</w:t>
      </w:r>
    </w:p>
    <w:p w14:paraId="3C64CDA8" w14:textId="77777777" w:rsidR="007B1517" w:rsidRPr="007B1517" w:rsidRDefault="007B1517" w:rsidP="007B1517">
      <w:r w:rsidRPr="007B1517">
        <w:rPr>
          <w:b/>
          <w:bCs/>
        </w:rPr>
        <w:t>Definition</w:t>
      </w:r>
      <w:r w:rsidRPr="007B1517">
        <w:t> — A paragraph specifying exactly what the sector covers. These definitions are precise and deliberately bounded. For example, the Energy, Water &amp; Sustainability sector explicitly states that its scope is </w:t>
      </w:r>
      <w:r w:rsidRPr="007B1517">
        <w:rPr>
          <w:i/>
          <w:iCs/>
        </w:rPr>
        <w:t>design consultancy and engineering — not utility construction, renewable energy farm delivery, or water infrastructure delivery</w:t>
      </w:r>
      <w:r w:rsidRPr="007B1517">
        <w:t>. This is a meaningful exclusion: without it, the AI would surface hundreds of irrelevant tenders for power station construction contracts, water treatment plant builds and utility framework agreements.</w:t>
      </w:r>
    </w:p>
    <w:p w14:paraId="023287E4" w14:textId="77777777" w:rsidR="007B1517" w:rsidRPr="007B1517" w:rsidRDefault="007B1517" w:rsidP="007B1517">
      <w:r w:rsidRPr="007B1517">
        <w:rPr>
          <w:b/>
          <w:bCs/>
        </w:rPr>
        <w:t>Scanning description</w:t>
      </w:r>
      <w:r w:rsidRPr="007B1517">
        <w:t> — A paragraph specifying what types of notices, announcements and signals the AI should look for within the sector. For example, HSR &amp; Metro specifies: new line authorisations, civil works packages (tunnelling, viaducts, earthworks), rolling stock procurement, signalling and ETCS/CBTC contracts, station design competitions, depot construction, electrification schemes, and track renewal frameworks — both greenfield and capacity-expansion.</w:t>
      </w:r>
    </w:p>
    <w:p w14:paraId="6793F1D8" w14:textId="77777777" w:rsidR="007B1517" w:rsidRPr="007B1517" w:rsidRDefault="007B1517" w:rsidP="007B1517">
      <w:r w:rsidRPr="007B1517">
        <w:rPr>
          <w:b/>
          <w:bCs/>
        </w:rPr>
        <w:t>Keywords</w:t>
      </w:r>
      <w:r w:rsidRPr="007B1517">
        <w:t> — A list of monospaced search terms that signal relevance within each sector. These serve both as display labels in the interface and as conceptual guides to the AI's search logic.</w:t>
      </w:r>
    </w:p>
    <w:p w14:paraId="31B1D845" w14:textId="77777777" w:rsidR="007B1517" w:rsidRPr="007B1517" w:rsidRDefault="007B1517" w:rsidP="007B1517">
      <w:pPr>
        <w:rPr>
          <w:b/>
          <w:bCs/>
        </w:rPr>
      </w:pPr>
      <w:r w:rsidRPr="007B1517">
        <w:rPr>
          <w:b/>
          <w:bCs/>
        </w:rPr>
        <w:t>3.3 Sector-Specific Guidance (SECTOR_HINTS)</w:t>
      </w:r>
    </w:p>
    <w:p w14:paraId="0EC28FA8" w14:textId="77777777" w:rsidR="007B1517" w:rsidRPr="007B1517" w:rsidRDefault="007B1517" w:rsidP="007B1517">
      <w:r w:rsidRPr="007B1517">
        <w:t>In addition to the structured sector data, the application maintains a separate SECTOR_HINTS object that injects additional precision directly into the Gemini prompt for certain sectors. The most detailed hint is for </w:t>
      </w:r>
      <w:r w:rsidRPr="007B1517">
        <w:rPr>
          <w:b/>
          <w:bCs/>
        </w:rPr>
        <w:t>Energy, Water &amp; Sustainability</w:t>
      </w:r>
      <w:r w:rsidRPr="007B1517">
        <w:t>, which lists over 20 specific sub-types of commission the AI should look for, and repeats the exclusion of standalone utility construction. This reflects the sector's susceptibility to false positives — "energy" and "water" are extremely common procurement categories in databases, and without precise guidance the AI returns large volumes of irrelevant results.</w:t>
      </w:r>
    </w:p>
    <w:p w14:paraId="590DE989" w14:textId="77777777" w:rsidR="007B1517" w:rsidRPr="007B1517" w:rsidRDefault="007B1517" w:rsidP="007B1517">
      <w:r w:rsidRPr="007B1517">
        <w:lastRenderedPageBreak/>
        <w:t>The HSR &amp; Metro hint focuses on: new line authorisations, rolling stock procurement, signalling contracts, station design competitions, depot construction, electrification schemes, and track renewal frameworks.</w:t>
      </w:r>
    </w:p>
    <w:p w14:paraId="05C50DE1" w14:textId="77777777" w:rsidR="007B1517" w:rsidRPr="007B1517" w:rsidRDefault="007B1517" w:rsidP="007B1517">
      <w:r w:rsidRPr="007B1517">
        <w:pict w14:anchorId="187F8861">
          <v:rect id="_x0000_i1106" style="width:0;height:0" o:hralign="center" o:hrstd="t" o:hr="t" fillcolor="#a0a0a0" stroked="f"/>
        </w:pict>
      </w:r>
    </w:p>
    <w:p w14:paraId="73B233CC" w14:textId="77777777" w:rsidR="007B1517" w:rsidRPr="007B1517" w:rsidRDefault="007B1517" w:rsidP="007B1517">
      <w:pPr>
        <w:rPr>
          <w:b/>
          <w:bCs/>
        </w:rPr>
      </w:pPr>
      <w:r w:rsidRPr="007B1517">
        <w:rPr>
          <w:b/>
          <w:bCs/>
        </w:rPr>
        <w:t>4. How Projects Are Searched For</w:t>
      </w:r>
    </w:p>
    <w:p w14:paraId="167A08C1" w14:textId="77777777" w:rsidR="007B1517" w:rsidRPr="007B1517" w:rsidRDefault="007B1517" w:rsidP="007B1517">
      <w:pPr>
        <w:rPr>
          <w:b/>
          <w:bCs/>
        </w:rPr>
      </w:pPr>
      <w:r w:rsidRPr="007B1517">
        <w:rPr>
          <w:b/>
          <w:bCs/>
        </w:rPr>
        <w:t>4.1 The AI Engine</w:t>
      </w:r>
    </w:p>
    <w:p w14:paraId="62AEA077" w14:textId="77777777" w:rsidR="007B1517" w:rsidRPr="007B1517" w:rsidRDefault="007B1517" w:rsidP="007B1517">
      <w:r w:rsidRPr="007B1517">
        <w:t>The application calls the </w:t>
      </w:r>
      <w:r w:rsidRPr="007B1517">
        <w:rPr>
          <w:b/>
          <w:bCs/>
        </w:rPr>
        <w:t>Gemini 2.5 Flash</w:t>
      </w:r>
      <w:r w:rsidRPr="007B1517">
        <w:t> model via the Gemini API (generativelanguage.googleapis.com/v1beta/models/gemini-2.5-flash). Gemini 2.5 Flash is Google's mid-tier frontier model, balancing capability and speed. Crucially, it is called with </w:t>
      </w:r>
      <w:r w:rsidRPr="007B1517">
        <w:rPr>
          <w:b/>
          <w:bCs/>
        </w:rPr>
        <w:t>Google Search grounding enabled</w:t>
      </w:r>
      <w:r w:rsidRPr="007B1517">
        <w:t> (tools:[{</w:t>
      </w:r>
      <w:proofErr w:type="spellStart"/>
      <w:r w:rsidRPr="007B1517">
        <w:t>google_search</w:t>
      </w:r>
      <w:proofErr w:type="spellEnd"/>
      <w:r w:rsidRPr="007B1517">
        <w:t>:{}}]), which means the model can perform live web searches during inference rather than relying solely on its training data. This is the mechanism through which current, real-world procurement notices are surfaced.</w:t>
      </w:r>
    </w:p>
    <w:p w14:paraId="604ED297" w14:textId="77777777" w:rsidR="007B1517" w:rsidRPr="007B1517" w:rsidRDefault="007B1517" w:rsidP="007B1517">
      <w:pPr>
        <w:rPr>
          <w:b/>
          <w:bCs/>
        </w:rPr>
      </w:pPr>
      <w:r w:rsidRPr="007B1517">
        <w:rPr>
          <w:b/>
          <w:bCs/>
        </w:rPr>
        <w:t>4.2 Prompt Construction</w:t>
      </w:r>
    </w:p>
    <w:p w14:paraId="4AF1D122" w14:textId="77777777" w:rsidR="007B1517" w:rsidRPr="007B1517" w:rsidRDefault="007B1517" w:rsidP="007B1517">
      <w:r w:rsidRPr="007B1517">
        <w:t>Each scan constructs a prompt with the following structure:</w:t>
      </w:r>
    </w:p>
    <w:p w14:paraId="39F0DCDE" w14:textId="77777777" w:rsidR="007B1517" w:rsidRPr="007B1517" w:rsidRDefault="007B1517" w:rsidP="007B1517">
      <w:pPr>
        <w:numPr>
          <w:ilvl w:val="0"/>
          <w:numId w:val="2"/>
        </w:numPr>
      </w:pPr>
      <w:r w:rsidRPr="007B1517">
        <w:rPr>
          <w:b/>
          <w:bCs/>
        </w:rPr>
        <w:t>Role framing</w:t>
      </w:r>
      <w:r w:rsidRPr="007B1517">
        <w:t> — "You are a strategic business development intelligence engine for GIA (Global Infrastructure Advisors)."</w:t>
      </w:r>
    </w:p>
    <w:p w14:paraId="6856107B" w14:textId="77777777" w:rsidR="007B1517" w:rsidRPr="007B1517" w:rsidRDefault="007B1517" w:rsidP="007B1517">
      <w:pPr>
        <w:numPr>
          <w:ilvl w:val="0"/>
          <w:numId w:val="2"/>
        </w:numPr>
      </w:pPr>
      <w:r w:rsidRPr="007B1517">
        <w:rPr>
          <w:b/>
          <w:bCs/>
        </w:rPr>
        <w:t>Task</w:t>
      </w:r>
      <w:r w:rsidRPr="007B1517">
        <w:t> — "Find as many real, current infrastructure procurement opportunities as possible for sector: [sector name] in region: [region]. Return at least 8 and up to 20 results."</w:t>
      </w:r>
    </w:p>
    <w:p w14:paraId="48C324BC" w14:textId="77777777" w:rsidR="007B1517" w:rsidRPr="007B1517" w:rsidRDefault="007B1517" w:rsidP="007B1517">
      <w:pPr>
        <w:numPr>
          <w:ilvl w:val="0"/>
          <w:numId w:val="2"/>
        </w:numPr>
      </w:pPr>
      <w:r w:rsidRPr="007B1517">
        <w:rPr>
          <w:b/>
          <w:bCs/>
        </w:rPr>
        <w:t>Sector hint</w:t>
      </w:r>
      <w:r w:rsidRPr="007B1517">
        <w:t> — Injected from SECTOR_HINTS for sectors that have one (currently Energy, HSR, TOD, Regeneration, Data Centres, Ports, and Mega Projects all have hints).</w:t>
      </w:r>
    </w:p>
    <w:p w14:paraId="01652947" w14:textId="77777777" w:rsidR="007B1517" w:rsidRPr="007B1517" w:rsidRDefault="007B1517" w:rsidP="007B1517">
      <w:pPr>
        <w:numPr>
          <w:ilvl w:val="0"/>
          <w:numId w:val="2"/>
        </w:numPr>
      </w:pPr>
      <w:r w:rsidRPr="007B1517">
        <w:rPr>
          <w:b/>
          <w:bCs/>
        </w:rPr>
        <w:t>Source list</w:t>
      </w:r>
      <w:r w:rsidRPr="007B1517">
        <w:t> — "Search specifically across these procurement databases and sources: [list of up to 60 enabled source names]." This is the operative instruction that directs the AI's search effort toward the configured procurement channels.</w:t>
      </w:r>
    </w:p>
    <w:p w14:paraId="20ED2844" w14:textId="77777777" w:rsidR="007B1517" w:rsidRPr="007B1517" w:rsidRDefault="007B1517" w:rsidP="007B1517">
      <w:pPr>
        <w:numPr>
          <w:ilvl w:val="0"/>
          <w:numId w:val="2"/>
        </w:numPr>
      </w:pPr>
      <w:r w:rsidRPr="007B1517">
        <w:rPr>
          <w:b/>
          <w:bCs/>
        </w:rPr>
        <w:t>Output format</w:t>
      </w:r>
      <w:r w:rsidRPr="007B1517">
        <w:t> — Strict JSON array requirement, with explicit enumeration of all required fields and their types.</w:t>
      </w:r>
    </w:p>
    <w:p w14:paraId="452E7745" w14:textId="77777777" w:rsidR="007B1517" w:rsidRPr="007B1517" w:rsidRDefault="007B1517" w:rsidP="007B1517">
      <w:pPr>
        <w:rPr>
          <w:b/>
          <w:bCs/>
        </w:rPr>
      </w:pPr>
      <w:r w:rsidRPr="007B1517">
        <w:rPr>
          <w:b/>
          <w:bCs/>
        </w:rPr>
        <w:t>4.3 Source Capping</w:t>
      </w:r>
    </w:p>
    <w:p w14:paraId="22A26ABF" w14:textId="77777777" w:rsidR="007B1517" w:rsidRPr="007B1517" w:rsidRDefault="007B1517" w:rsidP="007B1517">
      <w:r w:rsidRPr="007B1517">
        <w:t>The full source list contains over 650 entries. To avoid exceeding the Gemini API's token limits, the prompt caps the injected source list to the first </w:t>
      </w:r>
      <w:r w:rsidRPr="007B1517">
        <w:rPr>
          <w:b/>
          <w:bCs/>
        </w:rPr>
        <w:t>60 enabled sources</w:t>
      </w:r>
      <w:r w:rsidRPr="007B1517">
        <w:t>. The AI is thus operating on a named subset of the full database list. The user can control which sources appear in this subset by enabling or disabling sources in the Sources panel.</w:t>
      </w:r>
    </w:p>
    <w:p w14:paraId="4BE5E6EB" w14:textId="77777777" w:rsidR="007B1517" w:rsidRPr="007B1517" w:rsidRDefault="007B1517" w:rsidP="007B1517">
      <w:pPr>
        <w:rPr>
          <w:b/>
          <w:bCs/>
        </w:rPr>
      </w:pPr>
      <w:r w:rsidRPr="007B1517">
        <w:rPr>
          <w:b/>
          <w:bCs/>
        </w:rPr>
        <w:t>4.4 JSON Parsing and Resilience</w:t>
      </w:r>
    </w:p>
    <w:p w14:paraId="4DD8B4CA" w14:textId="77777777" w:rsidR="007B1517" w:rsidRPr="007B1517" w:rsidRDefault="007B1517" w:rsidP="007B1517">
      <w:r w:rsidRPr="007B1517">
        <w:t>Gemini returns free-form text even when instructed to return JSON. The application applies a multi-stage parse strategy:</w:t>
      </w:r>
    </w:p>
    <w:p w14:paraId="0D9C870C" w14:textId="77777777" w:rsidR="007B1517" w:rsidRPr="007B1517" w:rsidRDefault="007B1517" w:rsidP="007B1517">
      <w:pPr>
        <w:numPr>
          <w:ilvl w:val="0"/>
          <w:numId w:val="3"/>
        </w:numPr>
      </w:pPr>
      <w:r w:rsidRPr="007B1517">
        <w:t>Strip markdown code fences (```</w:t>
      </w:r>
      <w:proofErr w:type="spellStart"/>
      <w:r w:rsidRPr="007B1517">
        <w:t>json</w:t>
      </w:r>
      <w:proofErr w:type="spellEnd"/>
      <w:r w:rsidRPr="007B1517">
        <w:t>, ```)</w:t>
      </w:r>
    </w:p>
    <w:p w14:paraId="48F58CC8" w14:textId="77777777" w:rsidR="007B1517" w:rsidRPr="007B1517" w:rsidRDefault="007B1517" w:rsidP="007B1517">
      <w:pPr>
        <w:numPr>
          <w:ilvl w:val="0"/>
          <w:numId w:val="3"/>
        </w:numPr>
      </w:pPr>
      <w:r w:rsidRPr="007B1517">
        <w:t>Find the first [ character and truncate from there</w:t>
      </w:r>
    </w:p>
    <w:p w14:paraId="0F26C20E" w14:textId="77777777" w:rsidR="007B1517" w:rsidRPr="007B1517" w:rsidRDefault="007B1517" w:rsidP="007B1517">
      <w:pPr>
        <w:numPr>
          <w:ilvl w:val="0"/>
          <w:numId w:val="3"/>
        </w:numPr>
      </w:pPr>
      <w:r w:rsidRPr="007B1517">
        <w:t>Remove ASCII control characters (which break </w:t>
      </w:r>
      <w:proofErr w:type="spellStart"/>
      <w:r w:rsidRPr="007B1517">
        <w:t>JSON.parse</w:t>
      </w:r>
      <w:proofErr w:type="spellEnd"/>
      <w:r w:rsidRPr="007B1517">
        <w:t>)</w:t>
      </w:r>
    </w:p>
    <w:p w14:paraId="5CEF4E0E" w14:textId="77777777" w:rsidR="007B1517" w:rsidRPr="007B1517" w:rsidRDefault="007B1517" w:rsidP="007B1517">
      <w:pPr>
        <w:numPr>
          <w:ilvl w:val="0"/>
          <w:numId w:val="3"/>
        </w:numPr>
      </w:pPr>
      <w:r w:rsidRPr="007B1517">
        <w:lastRenderedPageBreak/>
        <w:t>Attempt </w:t>
      </w:r>
      <w:proofErr w:type="spellStart"/>
      <w:r w:rsidRPr="007B1517">
        <w:t>JSON.parse</w:t>
      </w:r>
      <w:proofErr w:type="spellEnd"/>
      <w:r w:rsidRPr="007B1517">
        <w:t> directly</w:t>
      </w:r>
    </w:p>
    <w:p w14:paraId="6392470D" w14:textId="77777777" w:rsidR="007B1517" w:rsidRPr="007B1517" w:rsidRDefault="007B1517" w:rsidP="007B1517">
      <w:pPr>
        <w:numPr>
          <w:ilvl w:val="0"/>
          <w:numId w:val="3"/>
        </w:numPr>
      </w:pPr>
      <w:r w:rsidRPr="007B1517">
        <w:t>If that fails: truncate to the last complete object (} before ]) and try again</w:t>
      </w:r>
    </w:p>
    <w:p w14:paraId="7DBCA100" w14:textId="77777777" w:rsidR="007B1517" w:rsidRPr="007B1517" w:rsidRDefault="007B1517" w:rsidP="007B1517">
      <w:pPr>
        <w:numPr>
          <w:ilvl w:val="0"/>
          <w:numId w:val="3"/>
        </w:numPr>
      </w:pPr>
      <w:r w:rsidRPr="007B1517">
        <w:t>If that fails: extract individual {...} objects using a regex and parse each one separately</w:t>
      </w:r>
    </w:p>
    <w:p w14:paraId="487970B0" w14:textId="77777777" w:rsidR="007B1517" w:rsidRPr="007B1517" w:rsidRDefault="007B1517" w:rsidP="007B1517">
      <w:r w:rsidRPr="007B1517">
        <w:t>This makes the parsing highly resilient to partial responses, truncated output and formatting inconsistencies.</w:t>
      </w:r>
    </w:p>
    <w:p w14:paraId="75E4FB28" w14:textId="77777777" w:rsidR="007B1517" w:rsidRPr="007B1517" w:rsidRDefault="007B1517" w:rsidP="007B1517">
      <w:pPr>
        <w:rPr>
          <w:b/>
          <w:bCs/>
        </w:rPr>
      </w:pPr>
      <w:r w:rsidRPr="007B1517">
        <w:rPr>
          <w:b/>
          <w:bCs/>
        </w:rPr>
        <w:t>4.5 Generation Configuration</w:t>
      </w:r>
    </w:p>
    <w:p w14:paraId="6C842AF5" w14:textId="77777777" w:rsidR="007B1517" w:rsidRPr="007B1517" w:rsidRDefault="007B1517" w:rsidP="007B1517">
      <w:r w:rsidRPr="007B1517">
        <w:t>The API call uses:</w:t>
      </w:r>
    </w:p>
    <w:p w14:paraId="2570FBE8" w14:textId="77777777" w:rsidR="007B1517" w:rsidRPr="007B1517" w:rsidRDefault="007B1517" w:rsidP="007B1517">
      <w:pPr>
        <w:numPr>
          <w:ilvl w:val="0"/>
          <w:numId w:val="4"/>
        </w:numPr>
      </w:pPr>
      <w:r w:rsidRPr="007B1517">
        <w:t>temperature: 0.7 — moderate creativity, sufficient variation between scans</w:t>
      </w:r>
    </w:p>
    <w:p w14:paraId="7A7CB357" w14:textId="77777777" w:rsidR="007B1517" w:rsidRPr="007B1517" w:rsidRDefault="007B1517" w:rsidP="007B1517">
      <w:pPr>
        <w:numPr>
          <w:ilvl w:val="0"/>
          <w:numId w:val="4"/>
        </w:numPr>
      </w:pPr>
      <w:proofErr w:type="spellStart"/>
      <w:r w:rsidRPr="007B1517">
        <w:t>maxOutputTokens</w:t>
      </w:r>
      <w:proofErr w:type="spellEnd"/>
      <w:r w:rsidRPr="007B1517">
        <w:t>: 8192 — maximises the number of results per call</w:t>
      </w:r>
    </w:p>
    <w:p w14:paraId="1CF91C6D" w14:textId="77777777" w:rsidR="007B1517" w:rsidRPr="007B1517" w:rsidRDefault="007B1517" w:rsidP="007B1517">
      <w:pPr>
        <w:rPr>
          <w:b/>
          <w:bCs/>
        </w:rPr>
      </w:pPr>
      <w:r w:rsidRPr="007B1517">
        <w:rPr>
          <w:b/>
          <w:bCs/>
        </w:rPr>
        <w:t>4.6 Scan Types</w:t>
      </w:r>
    </w:p>
    <w:p w14:paraId="1BC432FA" w14:textId="77777777" w:rsidR="007B1517" w:rsidRPr="007B1517" w:rsidRDefault="007B1517" w:rsidP="007B1517">
      <w:r w:rsidRPr="007B1517">
        <w:rPr>
          <w:b/>
          <w:bCs/>
        </w:rPr>
        <w:t>Single Sector Scan</w:t>
      </w:r>
      <w:r w:rsidRPr="007B1517">
        <w:t> — Queries Gemini for one sector in the selected region. Returns up to 20 results. Each scan is independent; re-scanning overwrites the previous results for that sector.</w:t>
      </w:r>
    </w:p>
    <w:p w14:paraId="50E46F32" w14:textId="77777777" w:rsidR="007B1517" w:rsidRPr="007B1517" w:rsidRDefault="007B1517" w:rsidP="007B1517">
      <w:r w:rsidRPr="007B1517">
        <w:rPr>
          <w:b/>
          <w:bCs/>
        </w:rPr>
        <w:t>Scan All Sectors</w:t>
      </w:r>
      <w:r w:rsidRPr="007B1517">
        <w:t> — Runs sequential scans across all 7 sectors. A 4-second delay is inserted between each scan to avoid hitting Gemini API rate limits. Full sweep takes approximately 35–50 seconds. Results accumulate and are stored per-sector.</w:t>
      </w:r>
    </w:p>
    <w:p w14:paraId="668AAADA" w14:textId="77777777" w:rsidR="007B1517" w:rsidRPr="007B1517" w:rsidRDefault="007B1517" w:rsidP="007B1517">
      <w:r w:rsidRPr="007B1517">
        <w:rPr>
          <w:b/>
          <w:bCs/>
        </w:rPr>
        <w:t>Region Filter</w:t>
      </w:r>
      <w:r w:rsidRPr="007B1517">
        <w:t> — A dropdown constrains the search to one of 6 regions: Global, UK &amp; Europe, Middle East, Asia Pacific, Americas, Africa. Narrowing the region improves result precision but may reduce opportunity diversity. The region string is injected directly into the prompt.</w:t>
      </w:r>
    </w:p>
    <w:p w14:paraId="70C9574B" w14:textId="77777777" w:rsidR="007B1517" w:rsidRPr="007B1517" w:rsidRDefault="007B1517" w:rsidP="007B1517">
      <w:r w:rsidRPr="007B1517">
        <w:pict w14:anchorId="6F9FAEC0">
          <v:rect id="_x0000_i1107" style="width:0;height:0" o:hralign="center" o:hrstd="t" o:hr="t" fillcolor="#a0a0a0" stroked="f"/>
        </w:pict>
      </w:r>
    </w:p>
    <w:p w14:paraId="7726B9E0" w14:textId="77777777" w:rsidR="007B1517" w:rsidRPr="007B1517" w:rsidRDefault="007B1517" w:rsidP="007B1517">
      <w:pPr>
        <w:rPr>
          <w:b/>
          <w:bCs/>
        </w:rPr>
      </w:pPr>
      <w:r w:rsidRPr="007B1517">
        <w:rPr>
          <w:b/>
          <w:bCs/>
        </w:rPr>
        <w:t>5. Source Selection and Coverage</w:t>
      </w:r>
    </w:p>
    <w:p w14:paraId="23B5BA4B" w14:textId="77777777" w:rsidR="007B1517" w:rsidRPr="007B1517" w:rsidRDefault="007B1517" w:rsidP="007B1517">
      <w:pPr>
        <w:rPr>
          <w:b/>
          <w:bCs/>
        </w:rPr>
      </w:pPr>
      <w:r w:rsidRPr="007B1517">
        <w:rPr>
          <w:b/>
          <w:bCs/>
        </w:rPr>
        <w:t>5.1 Philosophy</w:t>
      </w:r>
    </w:p>
    <w:p w14:paraId="0DB882BA" w14:textId="77777777" w:rsidR="007B1517" w:rsidRPr="007B1517" w:rsidRDefault="007B1517" w:rsidP="007B1517">
      <w:r w:rsidRPr="007B1517">
        <w:t>The source list is designed to be </w:t>
      </w:r>
      <w:r w:rsidRPr="007B1517">
        <w:rPr>
          <w:b/>
          <w:bCs/>
        </w:rPr>
        <w:t>exhaustive by category</w:t>
      </w:r>
      <w:r w:rsidRPr="007B1517">
        <w:t> rather than selective. Rather than choosing the 20 best sources, the tool attempts to enumerate every significant procurement database, infrastructure press outlet, regulatory body and intelligence platform relevant to global infrastructure. The AI is then instructed to search across them.</w:t>
      </w:r>
    </w:p>
    <w:p w14:paraId="7A7BC4E0" w14:textId="77777777" w:rsidR="007B1517" w:rsidRPr="007B1517" w:rsidRDefault="007B1517" w:rsidP="007B1517">
      <w:r w:rsidRPr="007B1517">
        <w:t>This approach works because Gemini with Google Search grounding can access publicly indexed content from any website. The source list serves as an instruction set — it tells the AI where to look — rather than as a set of direct API integrations. The tool does not make direct calls to any of the listed portals.</w:t>
      </w:r>
    </w:p>
    <w:p w14:paraId="793CC520" w14:textId="77777777" w:rsidR="007B1517" w:rsidRPr="007B1517" w:rsidRDefault="007B1517" w:rsidP="007B1517">
      <w:pPr>
        <w:rPr>
          <w:b/>
          <w:bCs/>
        </w:rPr>
      </w:pPr>
      <w:r w:rsidRPr="007B1517">
        <w:rPr>
          <w:b/>
          <w:bCs/>
        </w:rPr>
        <w:t>5.2 Categories and Counts</w:t>
      </w:r>
    </w:p>
    <w:p w14:paraId="2B63514A" w14:textId="77777777" w:rsidR="007B1517" w:rsidRPr="007B1517" w:rsidRDefault="007B1517" w:rsidP="007B1517">
      <w:r w:rsidRPr="007B1517">
        <w:t>The 650+ sources are organised into 34 categories: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4"/>
        <w:gridCol w:w="3186"/>
      </w:tblGrid>
      <w:tr w:rsidR="007B1517" w:rsidRPr="007B1517" w14:paraId="34BDD66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1C3256AE" w14:textId="77777777" w:rsidR="007B1517" w:rsidRPr="007B1517" w:rsidRDefault="007B1517" w:rsidP="007B1517">
            <w:pPr>
              <w:rPr>
                <w:b/>
                <w:bCs/>
              </w:rPr>
            </w:pPr>
            <w:r w:rsidRPr="007B1517">
              <w:rPr>
                <w:b/>
                <w:bCs/>
              </w:rPr>
              <w:t>Category</w:t>
            </w:r>
          </w:p>
        </w:tc>
        <w:tc>
          <w:tcPr>
            <w:tcW w:w="0" w:type="auto"/>
            <w:tcBorders>
              <w:top w:val="single" w:sz="2" w:space="0" w:color="auto"/>
              <w:left w:val="single" w:sz="2" w:space="0" w:color="auto"/>
              <w:bottom w:val="single" w:sz="2" w:space="0" w:color="auto"/>
              <w:right w:val="single" w:sz="2" w:space="0" w:color="auto"/>
            </w:tcBorders>
            <w:shd w:val="clear" w:color="auto" w:fill="1F1E1D"/>
            <w:vAlign w:val="center"/>
            <w:hideMark/>
          </w:tcPr>
          <w:p w14:paraId="52342009" w14:textId="77777777" w:rsidR="007B1517" w:rsidRPr="007B1517" w:rsidRDefault="007B1517" w:rsidP="007B1517">
            <w:pPr>
              <w:rPr>
                <w:b/>
                <w:bCs/>
              </w:rPr>
            </w:pPr>
            <w:r w:rsidRPr="007B1517">
              <w:rPr>
                <w:b/>
                <w:bCs/>
              </w:rPr>
              <w:t>Count</w:t>
            </w:r>
          </w:p>
        </w:tc>
      </w:tr>
      <w:tr w:rsidR="007B1517" w:rsidRPr="007B1517" w14:paraId="0C0204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D72527" w14:textId="77777777" w:rsidR="007B1517" w:rsidRPr="007B1517" w:rsidRDefault="007B1517" w:rsidP="007B1517">
            <w:r w:rsidRPr="007B1517">
              <w:t>UK &amp; Ireland Government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5B92D0C" w14:textId="77777777" w:rsidR="007B1517" w:rsidRPr="007B1517" w:rsidRDefault="007B1517" w:rsidP="007B1517">
            <w:r w:rsidRPr="007B1517">
              <w:t>7</w:t>
            </w:r>
          </w:p>
        </w:tc>
      </w:tr>
      <w:tr w:rsidR="007B1517" w:rsidRPr="007B1517" w14:paraId="364CBC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65D0AA" w14:textId="77777777" w:rsidR="007B1517" w:rsidRPr="007B1517" w:rsidRDefault="007B1517" w:rsidP="007B1517">
            <w:r w:rsidRPr="007B1517">
              <w:t>European Government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102DFB4" w14:textId="77777777" w:rsidR="007B1517" w:rsidRPr="007B1517" w:rsidRDefault="007B1517" w:rsidP="007B1517">
            <w:r w:rsidRPr="007B1517">
              <w:t>30+ (all EU member state portals)</w:t>
            </w:r>
          </w:p>
        </w:tc>
      </w:tr>
      <w:tr w:rsidR="007B1517" w:rsidRPr="007B1517" w14:paraId="6C36EE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FAB2B0" w14:textId="77777777" w:rsidR="007B1517" w:rsidRPr="007B1517" w:rsidRDefault="007B1517" w:rsidP="007B1517">
            <w:r w:rsidRPr="007B1517">
              <w:lastRenderedPageBreak/>
              <w:t>Americas – USA Federal</w:t>
            </w:r>
          </w:p>
        </w:tc>
        <w:tc>
          <w:tcPr>
            <w:tcW w:w="0" w:type="auto"/>
            <w:tcBorders>
              <w:top w:val="single" w:sz="2" w:space="0" w:color="auto"/>
              <w:left w:val="single" w:sz="2" w:space="0" w:color="auto"/>
              <w:bottom w:val="single" w:sz="2" w:space="0" w:color="auto"/>
              <w:right w:val="single" w:sz="2" w:space="0" w:color="auto"/>
            </w:tcBorders>
            <w:vAlign w:val="center"/>
            <w:hideMark/>
          </w:tcPr>
          <w:p w14:paraId="04A5EB0C" w14:textId="77777777" w:rsidR="007B1517" w:rsidRPr="007B1517" w:rsidRDefault="007B1517" w:rsidP="007B1517">
            <w:r w:rsidRPr="007B1517">
              <w:t>12</w:t>
            </w:r>
          </w:p>
        </w:tc>
      </w:tr>
      <w:tr w:rsidR="007B1517" w:rsidRPr="007B1517" w14:paraId="31BFAF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656E84" w14:textId="77777777" w:rsidR="007B1517" w:rsidRPr="007B1517" w:rsidRDefault="007B1517" w:rsidP="007B1517">
            <w:r w:rsidRPr="007B1517">
              <w:t>US State Portals</w:t>
            </w:r>
          </w:p>
        </w:tc>
        <w:tc>
          <w:tcPr>
            <w:tcW w:w="0" w:type="auto"/>
            <w:tcBorders>
              <w:top w:val="single" w:sz="2" w:space="0" w:color="auto"/>
              <w:left w:val="single" w:sz="2" w:space="0" w:color="auto"/>
              <w:bottom w:val="single" w:sz="2" w:space="0" w:color="auto"/>
              <w:right w:val="single" w:sz="2" w:space="0" w:color="auto"/>
            </w:tcBorders>
            <w:vAlign w:val="center"/>
            <w:hideMark/>
          </w:tcPr>
          <w:p w14:paraId="584D8A4E" w14:textId="77777777" w:rsidR="007B1517" w:rsidRPr="007B1517" w:rsidRDefault="007B1517" w:rsidP="007B1517">
            <w:r w:rsidRPr="007B1517">
              <w:t>50 (all 50 states)</w:t>
            </w:r>
          </w:p>
        </w:tc>
      </w:tr>
      <w:tr w:rsidR="007B1517" w:rsidRPr="007B1517" w14:paraId="2D887A0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C425F1" w14:textId="77777777" w:rsidR="007B1517" w:rsidRPr="007B1517" w:rsidRDefault="007B1517" w:rsidP="007B1517">
            <w:r w:rsidRPr="007B1517">
              <w:t>Canadian Provincial</w:t>
            </w:r>
          </w:p>
        </w:tc>
        <w:tc>
          <w:tcPr>
            <w:tcW w:w="0" w:type="auto"/>
            <w:tcBorders>
              <w:top w:val="single" w:sz="2" w:space="0" w:color="auto"/>
              <w:left w:val="single" w:sz="2" w:space="0" w:color="auto"/>
              <w:bottom w:val="single" w:sz="2" w:space="0" w:color="auto"/>
              <w:right w:val="single" w:sz="2" w:space="0" w:color="auto"/>
            </w:tcBorders>
            <w:vAlign w:val="center"/>
            <w:hideMark/>
          </w:tcPr>
          <w:p w14:paraId="7CF06610" w14:textId="77777777" w:rsidR="007B1517" w:rsidRPr="007B1517" w:rsidRDefault="007B1517" w:rsidP="007B1517">
            <w:r w:rsidRPr="007B1517">
              <w:t>13 (all provinces and territories)</w:t>
            </w:r>
          </w:p>
        </w:tc>
      </w:tr>
      <w:tr w:rsidR="007B1517" w:rsidRPr="007B1517" w14:paraId="19E619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BD84DA" w14:textId="77777777" w:rsidR="007B1517" w:rsidRPr="007B1517" w:rsidRDefault="007B1517" w:rsidP="007B1517">
            <w:r w:rsidRPr="007B1517">
              <w:t>Latin America &amp; Caribbean</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E8F23" w14:textId="77777777" w:rsidR="007B1517" w:rsidRPr="007B1517" w:rsidRDefault="007B1517" w:rsidP="007B1517">
            <w:r w:rsidRPr="007B1517">
              <w:t>20</w:t>
            </w:r>
          </w:p>
        </w:tc>
      </w:tr>
      <w:tr w:rsidR="007B1517" w:rsidRPr="007B1517" w14:paraId="1FA655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783FC3" w14:textId="77777777" w:rsidR="007B1517" w:rsidRPr="007B1517" w:rsidRDefault="007B1517" w:rsidP="007B1517">
            <w:r w:rsidRPr="007B1517">
              <w:t>APAC – Australasia</w:t>
            </w:r>
          </w:p>
        </w:tc>
        <w:tc>
          <w:tcPr>
            <w:tcW w:w="0" w:type="auto"/>
            <w:tcBorders>
              <w:top w:val="single" w:sz="2" w:space="0" w:color="auto"/>
              <w:left w:val="single" w:sz="2" w:space="0" w:color="auto"/>
              <w:bottom w:val="single" w:sz="2" w:space="0" w:color="auto"/>
              <w:right w:val="single" w:sz="2" w:space="0" w:color="auto"/>
            </w:tcBorders>
            <w:vAlign w:val="center"/>
            <w:hideMark/>
          </w:tcPr>
          <w:p w14:paraId="3F32EC77" w14:textId="77777777" w:rsidR="007B1517" w:rsidRPr="007B1517" w:rsidRDefault="007B1517" w:rsidP="007B1517">
            <w:r w:rsidRPr="007B1517">
              <w:t>10</w:t>
            </w:r>
          </w:p>
        </w:tc>
      </w:tr>
      <w:tr w:rsidR="007B1517" w:rsidRPr="007B1517" w14:paraId="674069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3607F0" w14:textId="77777777" w:rsidR="007B1517" w:rsidRPr="007B1517" w:rsidRDefault="007B1517" w:rsidP="007B1517">
            <w:r w:rsidRPr="007B1517">
              <w:t>APAC – Asia</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B6F0E" w14:textId="77777777" w:rsidR="007B1517" w:rsidRPr="007B1517" w:rsidRDefault="007B1517" w:rsidP="007B1517">
            <w:r w:rsidRPr="007B1517">
              <w:t>20</w:t>
            </w:r>
          </w:p>
        </w:tc>
      </w:tr>
      <w:tr w:rsidR="007B1517" w:rsidRPr="007B1517" w14:paraId="6766F1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17099A" w14:textId="77777777" w:rsidR="007B1517" w:rsidRPr="007B1517" w:rsidRDefault="007B1517" w:rsidP="007B1517">
            <w:r w:rsidRPr="007B1517">
              <w:t>Middle East Government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7D8133D" w14:textId="77777777" w:rsidR="007B1517" w:rsidRPr="007B1517" w:rsidRDefault="007B1517" w:rsidP="007B1517">
            <w:r w:rsidRPr="007B1517">
              <w:t>14</w:t>
            </w:r>
          </w:p>
        </w:tc>
      </w:tr>
      <w:tr w:rsidR="007B1517" w:rsidRPr="007B1517" w14:paraId="136275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3DADB8" w14:textId="77777777" w:rsidR="007B1517" w:rsidRPr="007B1517" w:rsidRDefault="007B1517" w:rsidP="007B1517">
            <w:r w:rsidRPr="007B1517">
              <w:t>Africa Government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03E5C2A" w14:textId="77777777" w:rsidR="007B1517" w:rsidRPr="007B1517" w:rsidRDefault="007B1517" w:rsidP="007B1517">
            <w:r w:rsidRPr="007B1517">
              <w:t>25</w:t>
            </w:r>
          </w:p>
        </w:tc>
      </w:tr>
      <w:tr w:rsidR="007B1517" w:rsidRPr="007B1517" w14:paraId="3E5D4E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436D59" w14:textId="77777777" w:rsidR="007B1517" w:rsidRPr="007B1517" w:rsidRDefault="007B1517" w:rsidP="007B1517">
            <w:r w:rsidRPr="007B1517">
              <w:t>Multilateral Banks</w:t>
            </w:r>
          </w:p>
        </w:tc>
        <w:tc>
          <w:tcPr>
            <w:tcW w:w="0" w:type="auto"/>
            <w:tcBorders>
              <w:top w:val="single" w:sz="2" w:space="0" w:color="auto"/>
              <w:left w:val="single" w:sz="2" w:space="0" w:color="auto"/>
              <w:bottom w:val="single" w:sz="2" w:space="0" w:color="auto"/>
              <w:right w:val="single" w:sz="2" w:space="0" w:color="auto"/>
            </w:tcBorders>
            <w:vAlign w:val="center"/>
            <w:hideMark/>
          </w:tcPr>
          <w:p w14:paraId="0CC6B6BE" w14:textId="77777777" w:rsidR="007B1517" w:rsidRPr="007B1517" w:rsidRDefault="007B1517" w:rsidP="007B1517">
            <w:r w:rsidRPr="007B1517">
              <w:t>18</w:t>
            </w:r>
          </w:p>
        </w:tc>
      </w:tr>
      <w:tr w:rsidR="007B1517" w:rsidRPr="007B1517" w14:paraId="06804A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983B52" w14:textId="77777777" w:rsidR="007B1517" w:rsidRPr="007B1517" w:rsidRDefault="007B1517" w:rsidP="007B1517">
            <w:r w:rsidRPr="007B1517">
              <w:t>Development &amp; Aid Agencies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7287795" w14:textId="77777777" w:rsidR="007B1517" w:rsidRPr="007B1517" w:rsidRDefault="007B1517" w:rsidP="007B1517">
            <w:r w:rsidRPr="007B1517">
              <w:t>20</w:t>
            </w:r>
          </w:p>
        </w:tc>
      </w:tr>
      <w:tr w:rsidR="007B1517" w:rsidRPr="007B1517" w14:paraId="3F4316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C437C2" w14:textId="77777777" w:rsidR="007B1517" w:rsidRPr="007B1517" w:rsidRDefault="007B1517" w:rsidP="007B1517">
            <w:r w:rsidRPr="007B1517">
              <w:t>UN Agencies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C9BC78C" w14:textId="77777777" w:rsidR="007B1517" w:rsidRPr="007B1517" w:rsidRDefault="007B1517" w:rsidP="007B1517">
            <w:r w:rsidRPr="007B1517">
              <w:t>10</w:t>
            </w:r>
          </w:p>
        </w:tc>
      </w:tr>
      <w:tr w:rsidR="007B1517" w:rsidRPr="007B1517" w14:paraId="445A06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D3ADD6" w14:textId="77777777" w:rsidR="007B1517" w:rsidRPr="007B1517" w:rsidRDefault="007B1517" w:rsidP="007B1517">
            <w:r w:rsidRPr="007B1517">
              <w:t>National Infrastructure Agencies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2C0AA81" w14:textId="77777777" w:rsidR="007B1517" w:rsidRPr="007B1517" w:rsidRDefault="007B1517" w:rsidP="007B1517">
            <w:r w:rsidRPr="007B1517">
              <w:t>30+</w:t>
            </w:r>
          </w:p>
        </w:tc>
      </w:tr>
      <w:tr w:rsidR="007B1517" w:rsidRPr="007B1517" w14:paraId="1147FA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C3F4E9" w14:textId="77777777" w:rsidR="007B1517" w:rsidRPr="007B1517" w:rsidRDefault="007B1517" w:rsidP="007B1517">
            <w:r w:rsidRPr="007B1517">
              <w:t>Rail &amp; Metro Operators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773F3" w14:textId="77777777" w:rsidR="007B1517" w:rsidRPr="007B1517" w:rsidRDefault="007B1517" w:rsidP="007B1517">
            <w:r w:rsidRPr="007B1517">
              <w:t>40+</w:t>
            </w:r>
          </w:p>
        </w:tc>
      </w:tr>
      <w:tr w:rsidR="007B1517" w:rsidRPr="007B1517" w14:paraId="3E9B37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726B82" w14:textId="77777777" w:rsidR="007B1517" w:rsidRPr="007B1517" w:rsidRDefault="007B1517" w:rsidP="007B1517">
            <w:r w:rsidRPr="007B1517">
              <w:t>Port Authorities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93150B" w14:textId="77777777" w:rsidR="007B1517" w:rsidRPr="007B1517" w:rsidRDefault="007B1517" w:rsidP="007B1517">
            <w:r w:rsidRPr="007B1517">
              <w:t>30+</w:t>
            </w:r>
          </w:p>
        </w:tc>
      </w:tr>
      <w:tr w:rsidR="007B1517" w:rsidRPr="007B1517" w14:paraId="39F85CD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A8BC7C" w14:textId="77777777" w:rsidR="007B1517" w:rsidRPr="007B1517" w:rsidRDefault="007B1517" w:rsidP="007B1517">
            <w:r w:rsidRPr="007B1517">
              <w:t>Airport Authorities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B53D3FC" w14:textId="77777777" w:rsidR="007B1517" w:rsidRPr="007B1517" w:rsidRDefault="007B1517" w:rsidP="007B1517">
            <w:r w:rsidRPr="007B1517">
              <w:t>30+</w:t>
            </w:r>
          </w:p>
        </w:tc>
      </w:tr>
      <w:tr w:rsidR="007B1517" w:rsidRPr="007B1517" w14:paraId="223B0B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0D717B" w14:textId="77777777" w:rsidR="007B1517" w:rsidRPr="007B1517" w:rsidRDefault="007B1517" w:rsidP="007B1517">
            <w:r w:rsidRPr="007B1517">
              <w:t>Water &amp; Environment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72DF7" w14:textId="77777777" w:rsidR="007B1517" w:rsidRPr="007B1517" w:rsidRDefault="007B1517" w:rsidP="007B1517">
            <w:r w:rsidRPr="007B1517">
              <w:t>20+</w:t>
            </w:r>
          </w:p>
        </w:tc>
      </w:tr>
      <w:tr w:rsidR="007B1517" w:rsidRPr="007B1517" w14:paraId="347DD8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3A3AD0" w14:textId="77777777" w:rsidR="007B1517" w:rsidRPr="007B1517" w:rsidRDefault="007B1517" w:rsidP="007B1517">
            <w:r w:rsidRPr="007B1517">
              <w:t>Energy Utilities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EF2C29" w14:textId="77777777" w:rsidR="007B1517" w:rsidRPr="007B1517" w:rsidRDefault="007B1517" w:rsidP="007B1517">
            <w:r w:rsidRPr="007B1517">
              <w:t>30+</w:t>
            </w:r>
          </w:p>
        </w:tc>
      </w:tr>
      <w:tr w:rsidR="007B1517" w:rsidRPr="007B1517" w14:paraId="5459E4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DE8B75" w14:textId="77777777" w:rsidR="007B1517" w:rsidRPr="007B1517" w:rsidRDefault="007B1517" w:rsidP="007B1517">
            <w:r w:rsidRPr="007B1517">
              <w:t>Sustainability &amp; MEP</w:t>
            </w:r>
          </w:p>
        </w:tc>
        <w:tc>
          <w:tcPr>
            <w:tcW w:w="0" w:type="auto"/>
            <w:tcBorders>
              <w:top w:val="single" w:sz="2" w:space="0" w:color="auto"/>
              <w:left w:val="single" w:sz="2" w:space="0" w:color="auto"/>
              <w:bottom w:val="single" w:sz="2" w:space="0" w:color="auto"/>
              <w:right w:val="single" w:sz="2" w:space="0" w:color="auto"/>
            </w:tcBorders>
            <w:vAlign w:val="center"/>
            <w:hideMark/>
          </w:tcPr>
          <w:p w14:paraId="2698F0C8" w14:textId="77777777" w:rsidR="007B1517" w:rsidRPr="007B1517" w:rsidRDefault="007B1517" w:rsidP="007B1517">
            <w:r w:rsidRPr="007B1517">
              <w:t>20</w:t>
            </w:r>
          </w:p>
        </w:tc>
      </w:tr>
      <w:tr w:rsidR="007B1517" w:rsidRPr="007B1517" w14:paraId="123BFD8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8CA872" w14:textId="77777777" w:rsidR="007B1517" w:rsidRPr="007B1517" w:rsidRDefault="007B1517" w:rsidP="007B1517">
            <w:r w:rsidRPr="007B1517">
              <w:t>Healthcare Infrastructure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0A26EC18" w14:textId="77777777" w:rsidR="007B1517" w:rsidRPr="007B1517" w:rsidRDefault="007B1517" w:rsidP="007B1517">
            <w:r w:rsidRPr="007B1517">
              <w:t>14</w:t>
            </w:r>
          </w:p>
        </w:tc>
      </w:tr>
      <w:tr w:rsidR="007B1517" w:rsidRPr="007B1517" w14:paraId="5CA1F7C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7B0A34" w14:textId="77777777" w:rsidR="007B1517" w:rsidRPr="007B1517" w:rsidRDefault="007B1517" w:rsidP="007B1517">
            <w:r w:rsidRPr="007B1517">
              <w:t>Education Infrastructure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329A8" w14:textId="77777777" w:rsidR="007B1517" w:rsidRPr="007B1517" w:rsidRDefault="007B1517" w:rsidP="007B1517">
            <w:r w:rsidRPr="007B1517">
              <w:t>10</w:t>
            </w:r>
          </w:p>
        </w:tc>
      </w:tr>
      <w:tr w:rsidR="007B1517" w:rsidRPr="007B1517" w14:paraId="0ECFDF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ABA71F" w14:textId="77777777" w:rsidR="007B1517" w:rsidRPr="007B1517" w:rsidRDefault="007B1517" w:rsidP="007B1517">
            <w:proofErr w:type="spellStart"/>
            <w:r w:rsidRPr="007B1517">
              <w:t>Defense</w:t>
            </w:r>
            <w:proofErr w:type="spellEnd"/>
            <w:r w:rsidRPr="007B1517">
              <w:t xml:space="preserve"> Infrastructure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70372694" w14:textId="77777777" w:rsidR="007B1517" w:rsidRPr="007B1517" w:rsidRDefault="007B1517" w:rsidP="007B1517">
            <w:r w:rsidRPr="007B1517">
              <w:t>11</w:t>
            </w:r>
          </w:p>
        </w:tc>
      </w:tr>
      <w:tr w:rsidR="007B1517" w:rsidRPr="007B1517" w14:paraId="664D03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B25C80" w14:textId="77777777" w:rsidR="007B1517" w:rsidRPr="007B1517" w:rsidRDefault="007B1517" w:rsidP="007B1517">
            <w:r w:rsidRPr="007B1517">
              <w:t>Digital &amp; Telecoms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938472" w14:textId="77777777" w:rsidR="007B1517" w:rsidRPr="007B1517" w:rsidRDefault="007B1517" w:rsidP="007B1517">
            <w:r w:rsidRPr="007B1517">
              <w:t>12</w:t>
            </w:r>
          </w:p>
        </w:tc>
      </w:tr>
      <w:tr w:rsidR="007B1517" w:rsidRPr="007B1517" w14:paraId="3A4094F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8B0EC0" w14:textId="77777777" w:rsidR="007B1517" w:rsidRPr="007B1517" w:rsidRDefault="007B1517" w:rsidP="007B1517">
            <w:r w:rsidRPr="007B1517">
              <w:t>Housing &amp; Urban Development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78C1B4C3" w14:textId="77777777" w:rsidR="007B1517" w:rsidRPr="007B1517" w:rsidRDefault="007B1517" w:rsidP="007B1517">
            <w:r w:rsidRPr="007B1517">
              <w:t>13</w:t>
            </w:r>
          </w:p>
        </w:tc>
      </w:tr>
      <w:tr w:rsidR="007B1517" w:rsidRPr="007B1517" w14:paraId="724678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9F0EB5" w14:textId="77777777" w:rsidR="007B1517" w:rsidRPr="007B1517" w:rsidRDefault="007B1517" w:rsidP="007B1517">
            <w:r w:rsidRPr="007B1517">
              <w:t>City &amp; Municipal Portals</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42D31" w14:textId="77777777" w:rsidR="007B1517" w:rsidRPr="007B1517" w:rsidRDefault="007B1517" w:rsidP="007B1517">
            <w:r w:rsidRPr="007B1517">
              <w:t>27</w:t>
            </w:r>
          </w:p>
        </w:tc>
      </w:tr>
      <w:tr w:rsidR="007B1517" w:rsidRPr="007B1517" w14:paraId="1217808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956608" w14:textId="77777777" w:rsidR="007B1517" w:rsidRPr="007B1517" w:rsidRDefault="007B1517" w:rsidP="007B1517">
            <w:r w:rsidRPr="007B1517">
              <w:t>Project Finance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427809A9" w14:textId="77777777" w:rsidR="007B1517" w:rsidRPr="007B1517" w:rsidRDefault="007B1517" w:rsidP="007B1517">
            <w:r w:rsidRPr="007B1517">
              <w:t>15</w:t>
            </w:r>
          </w:p>
        </w:tc>
      </w:tr>
      <w:tr w:rsidR="007B1517" w:rsidRPr="007B1517" w14:paraId="6F452D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AB40C5" w14:textId="77777777" w:rsidR="007B1517" w:rsidRPr="007B1517" w:rsidRDefault="007B1517" w:rsidP="007B1517">
            <w:r w:rsidRPr="007B1517">
              <w:t>ESG &amp; Green Finance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08B1B" w14:textId="77777777" w:rsidR="007B1517" w:rsidRPr="007B1517" w:rsidRDefault="007B1517" w:rsidP="007B1517">
            <w:r w:rsidRPr="007B1517">
              <w:t>10</w:t>
            </w:r>
          </w:p>
        </w:tc>
      </w:tr>
      <w:tr w:rsidR="007B1517" w:rsidRPr="007B1517" w14:paraId="7A9B0D5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EF6529" w14:textId="77777777" w:rsidR="007B1517" w:rsidRPr="007B1517" w:rsidRDefault="007B1517" w:rsidP="007B1517">
            <w:r w:rsidRPr="007B1517">
              <w:t>Industry Press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08B1D5" w14:textId="77777777" w:rsidR="007B1517" w:rsidRPr="007B1517" w:rsidRDefault="007B1517" w:rsidP="007B1517">
            <w:r w:rsidRPr="007B1517">
              <w:t>17</w:t>
            </w:r>
          </w:p>
        </w:tc>
      </w:tr>
      <w:tr w:rsidR="007B1517" w:rsidRPr="007B1517" w14:paraId="2F3AD96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5BE86C" w14:textId="77777777" w:rsidR="007B1517" w:rsidRPr="007B1517" w:rsidRDefault="007B1517" w:rsidP="007B1517">
            <w:r w:rsidRPr="007B1517">
              <w:lastRenderedPageBreak/>
              <w:t>Sector Publications – Transport</w:t>
            </w:r>
          </w:p>
        </w:tc>
        <w:tc>
          <w:tcPr>
            <w:tcW w:w="0" w:type="auto"/>
            <w:tcBorders>
              <w:top w:val="single" w:sz="2" w:space="0" w:color="auto"/>
              <w:left w:val="single" w:sz="2" w:space="0" w:color="auto"/>
              <w:bottom w:val="single" w:sz="2" w:space="0" w:color="auto"/>
              <w:right w:val="single" w:sz="2" w:space="0" w:color="auto"/>
            </w:tcBorders>
            <w:vAlign w:val="center"/>
            <w:hideMark/>
          </w:tcPr>
          <w:p w14:paraId="45F05006" w14:textId="77777777" w:rsidR="007B1517" w:rsidRPr="007B1517" w:rsidRDefault="007B1517" w:rsidP="007B1517">
            <w:r w:rsidRPr="007B1517">
              <w:t>13</w:t>
            </w:r>
          </w:p>
        </w:tc>
      </w:tr>
      <w:tr w:rsidR="007B1517" w:rsidRPr="007B1517" w14:paraId="01395D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B27152" w14:textId="77777777" w:rsidR="007B1517" w:rsidRPr="007B1517" w:rsidRDefault="007B1517" w:rsidP="007B1517">
            <w:r w:rsidRPr="007B1517">
              <w:t>Sector Publications – Energy</w:t>
            </w:r>
          </w:p>
        </w:tc>
        <w:tc>
          <w:tcPr>
            <w:tcW w:w="0" w:type="auto"/>
            <w:tcBorders>
              <w:top w:val="single" w:sz="2" w:space="0" w:color="auto"/>
              <w:left w:val="single" w:sz="2" w:space="0" w:color="auto"/>
              <w:bottom w:val="single" w:sz="2" w:space="0" w:color="auto"/>
              <w:right w:val="single" w:sz="2" w:space="0" w:color="auto"/>
            </w:tcBorders>
            <w:vAlign w:val="center"/>
            <w:hideMark/>
          </w:tcPr>
          <w:p w14:paraId="7BB24621" w14:textId="77777777" w:rsidR="007B1517" w:rsidRPr="007B1517" w:rsidRDefault="007B1517" w:rsidP="007B1517">
            <w:r w:rsidRPr="007B1517">
              <w:t>10</w:t>
            </w:r>
          </w:p>
        </w:tc>
      </w:tr>
      <w:tr w:rsidR="007B1517" w:rsidRPr="007B1517" w14:paraId="2E2F51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B90EB9" w14:textId="77777777" w:rsidR="007B1517" w:rsidRPr="007B1517" w:rsidRDefault="007B1517" w:rsidP="007B1517">
            <w:r w:rsidRPr="007B1517">
              <w:t>Sector Publications – Digital</w:t>
            </w:r>
          </w:p>
        </w:tc>
        <w:tc>
          <w:tcPr>
            <w:tcW w:w="0" w:type="auto"/>
            <w:tcBorders>
              <w:top w:val="single" w:sz="2" w:space="0" w:color="auto"/>
              <w:left w:val="single" w:sz="2" w:space="0" w:color="auto"/>
              <w:bottom w:val="single" w:sz="2" w:space="0" w:color="auto"/>
              <w:right w:val="single" w:sz="2" w:space="0" w:color="auto"/>
            </w:tcBorders>
            <w:vAlign w:val="center"/>
            <w:hideMark/>
          </w:tcPr>
          <w:p w14:paraId="26769498" w14:textId="77777777" w:rsidR="007B1517" w:rsidRPr="007B1517" w:rsidRDefault="007B1517" w:rsidP="007B1517">
            <w:r w:rsidRPr="007B1517">
              <w:t>7</w:t>
            </w:r>
          </w:p>
        </w:tc>
      </w:tr>
      <w:tr w:rsidR="007B1517" w:rsidRPr="007B1517" w14:paraId="357490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63734A" w14:textId="77777777" w:rsidR="007B1517" w:rsidRPr="007B1517" w:rsidRDefault="007B1517" w:rsidP="007B1517">
            <w:r w:rsidRPr="007B1517">
              <w:t>Newswires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A4ADFB2" w14:textId="77777777" w:rsidR="007B1517" w:rsidRPr="007B1517" w:rsidRDefault="007B1517" w:rsidP="007B1517">
            <w:r w:rsidRPr="007B1517">
              <w:t>12</w:t>
            </w:r>
          </w:p>
        </w:tc>
      </w:tr>
      <w:tr w:rsidR="007B1517" w:rsidRPr="007B1517" w14:paraId="14B6B7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E87EBB" w14:textId="77777777" w:rsidR="007B1517" w:rsidRPr="007B1517" w:rsidRDefault="007B1517" w:rsidP="007B1517">
            <w:r w:rsidRPr="007B1517">
              <w:t>Industry &amp; Professional Bodies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952B356" w14:textId="77777777" w:rsidR="007B1517" w:rsidRPr="007B1517" w:rsidRDefault="007B1517" w:rsidP="007B1517">
            <w:r w:rsidRPr="007B1517">
              <w:t>20</w:t>
            </w:r>
          </w:p>
        </w:tc>
      </w:tr>
      <w:tr w:rsidR="007B1517" w:rsidRPr="007B1517" w14:paraId="68F895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9EC18C" w14:textId="77777777" w:rsidR="007B1517" w:rsidRPr="007B1517" w:rsidRDefault="007B1517" w:rsidP="007B1517">
            <w:r w:rsidRPr="007B1517">
              <w:t>Lead &amp; Pipeline Databases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73DD2C" w14:textId="77777777" w:rsidR="007B1517" w:rsidRPr="007B1517" w:rsidRDefault="007B1517" w:rsidP="007B1517">
            <w:r w:rsidRPr="007B1517">
              <w:t>15</w:t>
            </w:r>
          </w:p>
        </w:tc>
      </w:tr>
      <w:tr w:rsidR="007B1517" w:rsidRPr="007B1517" w14:paraId="19F523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7E2361" w14:textId="77777777" w:rsidR="007B1517" w:rsidRPr="007B1517" w:rsidRDefault="007B1517" w:rsidP="007B1517">
            <w:r w:rsidRPr="007B1517">
              <w:t>Think Tanks &amp; Research</w:t>
            </w:r>
          </w:p>
        </w:tc>
        <w:tc>
          <w:tcPr>
            <w:tcW w:w="0" w:type="auto"/>
            <w:tcBorders>
              <w:top w:val="single" w:sz="2" w:space="0" w:color="auto"/>
              <w:left w:val="single" w:sz="2" w:space="0" w:color="auto"/>
              <w:bottom w:val="single" w:sz="2" w:space="0" w:color="auto"/>
              <w:right w:val="single" w:sz="2" w:space="0" w:color="auto"/>
            </w:tcBorders>
            <w:vAlign w:val="center"/>
            <w:hideMark/>
          </w:tcPr>
          <w:p w14:paraId="391FF48A" w14:textId="77777777" w:rsidR="007B1517" w:rsidRPr="007B1517" w:rsidRDefault="007B1517" w:rsidP="007B1517">
            <w:r w:rsidRPr="007B1517">
              <w:t>10</w:t>
            </w:r>
          </w:p>
        </w:tc>
      </w:tr>
    </w:tbl>
    <w:p w14:paraId="6C688F5A" w14:textId="77777777" w:rsidR="007B1517" w:rsidRPr="007B1517" w:rsidRDefault="007B1517" w:rsidP="007B1517">
      <w:pPr>
        <w:rPr>
          <w:b/>
          <w:bCs/>
        </w:rPr>
      </w:pPr>
      <w:r w:rsidRPr="007B1517">
        <w:rPr>
          <w:b/>
          <w:bCs/>
        </w:rPr>
        <w:t>5.3 Subscription-Paywalled Sources</w:t>
      </w:r>
    </w:p>
    <w:p w14:paraId="02506869" w14:textId="77777777" w:rsidR="007B1517" w:rsidRPr="007B1517" w:rsidRDefault="007B1517" w:rsidP="007B1517">
      <w:r w:rsidRPr="007B1517">
        <w:t xml:space="preserve">Several high-value sources are marked with an asterisk (*) — for example: </w:t>
      </w:r>
      <w:proofErr w:type="spellStart"/>
      <w:r w:rsidRPr="007B1517">
        <w:t>IJGlobal</w:t>
      </w:r>
      <w:proofErr w:type="spellEnd"/>
      <w:r w:rsidRPr="007B1517">
        <w:t xml:space="preserve">, </w:t>
      </w:r>
      <w:proofErr w:type="spellStart"/>
      <w:r w:rsidRPr="007B1517">
        <w:t>Inframation</w:t>
      </w:r>
      <w:proofErr w:type="spellEnd"/>
      <w:r w:rsidRPr="007B1517">
        <w:t xml:space="preserve">, Construction News, MEED Projects, Global Water Intelligence, </w:t>
      </w:r>
      <w:proofErr w:type="spellStart"/>
      <w:r w:rsidRPr="007B1517">
        <w:t>Glenigan</w:t>
      </w:r>
      <w:proofErr w:type="spellEnd"/>
      <w:r w:rsidRPr="007B1517">
        <w:t>, Barbour ABI, Dodge Construction Network, Bloomberg New Energy Finance. These are subscription-required platforms. The tool accesses them via publicly indexed excerpts — content that has been crawled and indexed by Google — rather than direct API access. The application discloses this in the interface: "* subscription required — Gemini uses publicly indexed excerpts only."</w:t>
      </w:r>
    </w:p>
    <w:p w14:paraId="61C2293B" w14:textId="77777777" w:rsidR="007B1517" w:rsidRPr="007B1517" w:rsidRDefault="007B1517" w:rsidP="007B1517">
      <w:pPr>
        <w:rPr>
          <w:b/>
          <w:bCs/>
        </w:rPr>
      </w:pPr>
      <w:r w:rsidRPr="007B1517">
        <w:rPr>
          <w:b/>
          <w:bCs/>
        </w:rPr>
        <w:t>5.4 User Control</w:t>
      </w:r>
    </w:p>
    <w:p w14:paraId="70B4B944" w14:textId="77777777" w:rsidR="007B1517" w:rsidRPr="007B1517" w:rsidRDefault="007B1517" w:rsidP="007B1517">
      <w:r w:rsidRPr="007B1517">
        <w:t>Every source has an enabled/disabled toggle. Sources can be toggled individually, by category (Select All / Deselect per group), or globally (Select All / Clear All). The state of enabled sources directly affects the prompt — only enabled sources are listed in the AI instruction. Disabling a source reduces the probability of results from that source but does not guarantee exclusion, since the AI may still surface relevant results from channels not listed.</w:t>
      </w:r>
    </w:p>
    <w:p w14:paraId="603447B5" w14:textId="77777777" w:rsidR="007B1517" w:rsidRPr="007B1517" w:rsidRDefault="007B1517" w:rsidP="007B1517">
      <w:r w:rsidRPr="007B1517">
        <w:pict w14:anchorId="5C0000D2">
          <v:rect id="_x0000_i1108" style="width:0;height:0" o:hralign="center" o:hrstd="t" o:hr="t" fillcolor="#a0a0a0" stroked="f"/>
        </w:pict>
      </w:r>
    </w:p>
    <w:p w14:paraId="50AFDB12" w14:textId="77777777" w:rsidR="007B1517" w:rsidRPr="007B1517" w:rsidRDefault="007B1517" w:rsidP="007B1517">
      <w:pPr>
        <w:rPr>
          <w:b/>
          <w:bCs/>
        </w:rPr>
      </w:pPr>
      <w:r w:rsidRPr="007B1517">
        <w:rPr>
          <w:b/>
          <w:bCs/>
        </w:rPr>
        <w:t>6. Opportunity Fields — What Is Returned</w:t>
      </w:r>
    </w:p>
    <w:p w14:paraId="05742619" w14:textId="77777777" w:rsidR="007B1517" w:rsidRPr="007B1517" w:rsidRDefault="007B1517" w:rsidP="007B1517">
      <w:r w:rsidRPr="007B1517">
        <w:t>Each opportunity surfaced by the AI contains 14 fields: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8"/>
        <w:gridCol w:w="1386"/>
        <w:gridCol w:w="6676"/>
      </w:tblGrid>
      <w:tr w:rsidR="007B1517" w:rsidRPr="007B1517" w14:paraId="339AFDA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3E6376A" w14:textId="77777777" w:rsidR="007B1517" w:rsidRPr="007B1517" w:rsidRDefault="007B1517" w:rsidP="007B1517">
            <w:pPr>
              <w:rPr>
                <w:b/>
                <w:bCs/>
              </w:rPr>
            </w:pPr>
            <w:r w:rsidRPr="007B1517">
              <w:rPr>
                <w:b/>
                <w:bCs/>
              </w:rPr>
              <w:t>Field</w:t>
            </w:r>
          </w:p>
        </w:tc>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1E8CF66" w14:textId="77777777" w:rsidR="007B1517" w:rsidRPr="007B1517" w:rsidRDefault="007B1517" w:rsidP="007B1517">
            <w:pPr>
              <w:rPr>
                <w:b/>
                <w:bCs/>
              </w:rPr>
            </w:pPr>
            <w:r w:rsidRPr="007B1517">
              <w:rPr>
                <w:b/>
                <w:bCs/>
              </w:rPr>
              <w:t>Type</w:t>
            </w:r>
          </w:p>
        </w:tc>
        <w:tc>
          <w:tcPr>
            <w:tcW w:w="0" w:type="auto"/>
            <w:tcBorders>
              <w:top w:val="single" w:sz="2" w:space="0" w:color="auto"/>
              <w:left w:val="single" w:sz="2" w:space="0" w:color="auto"/>
              <w:bottom w:val="single" w:sz="2" w:space="0" w:color="auto"/>
              <w:right w:val="single" w:sz="2" w:space="0" w:color="auto"/>
            </w:tcBorders>
            <w:shd w:val="clear" w:color="auto" w:fill="1F1E1D"/>
            <w:vAlign w:val="center"/>
            <w:hideMark/>
          </w:tcPr>
          <w:p w14:paraId="1B69597E" w14:textId="77777777" w:rsidR="007B1517" w:rsidRPr="007B1517" w:rsidRDefault="007B1517" w:rsidP="007B1517">
            <w:pPr>
              <w:rPr>
                <w:b/>
                <w:bCs/>
              </w:rPr>
            </w:pPr>
            <w:r w:rsidRPr="007B1517">
              <w:rPr>
                <w:b/>
                <w:bCs/>
              </w:rPr>
              <w:t>Description</w:t>
            </w:r>
          </w:p>
        </w:tc>
      </w:tr>
      <w:tr w:rsidR="007B1517" w:rsidRPr="007B1517" w14:paraId="32C731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01E96D" w14:textId="77777777" w:rsidR="007B1517" w:rsidRPr="007B1517" w:rsidRDefault="007B1517" w:rsidP="007B1517">
            <w:r w:rsidRPr="007B1517">
              <w:t>title</w:t>
            </w:r>
          </w:p>
        </w:tc>
        <w:tc>
          <w:tcPr>
            <w:tcW w:w="0" w:type="auto"/>
            <w:tcBorders>
              <w:top w:val="single" w:sz="2" w:space="0" w:color="auto"/>
              <w:left w:val="single" w:sz="2" w:space="0" w:color="auto"/>
              <w:bottom w:val="single" w:sz="2" w:space="0" w:color="auto"/>
              <w:right w:val="single" w:sz="6" w:space="0" w:color="auto"/>
            </w:tcBorders>
            <w:vAlign w:val="center"/>
            <w:hideMark/>
          </w:tcPr>
          <w:p w14:paraId="5064DACE"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82AF35E" w14:textId="77777777" w:rsidR="007B1517" w:rsidRPr="007B1517" w:rsidRDefault="007B1517" w:rsidP="007B1517">
            <w:r w:rsidRPr="007B1517">
              <w:t>Specific project or tender name</w:t>
            </w:r>
          </w:p>
        </w:tc>
      </w:tr>
      <w:tr w:rsidR="007B1517" w:rsidRPr="007B1517" w14:paraId="6E5A944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C38306" w14:textId="77777777" w:rsidR="007B1517" w:rsidRPr="007B1517" w:rsidRDefault="007B1517" w:rsidP="007B1517">
            <w:r w:rsidRPr="007B1517">
              <w:t>client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4D865080"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4CB17BE" w14:textId="77777777" w:rsidR="007B1517" w:rsidRPr="007B1517" w:rsidRDefault="007B1517" w:rsidP="007B1517">
            <w:r w:rsidRPr="007B1517">
              <w:t>Procuring authority</w:t>
            </w:r>
          </w:p>
        </w:tc>
      </w:tr>
      <w:tr w:rsidR="007B1517" w:rsidRPr="007B1517" w14:paraId="3077B43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F8950F" w14:textId="77777777" w:rsidR="007B1517" w:rsidRPr="007B1517" w:rsidRDefault="007B1517" w:rsidP="007B1517">
            <w:r w:rsidRPr="007B1517">
              <w:t>region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27B2BC1"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A4A53A6" w14:textId="77777777" w:rsidR="007B1517" w:rsidRPr="007B1517" w:rsidRDefault="007B1517" w:rsidP="007B1517">
            <w:r w:rsidRPr="007B1517">
              <w:t>Specific country or city</w:t>
            </w:r>
          </w:p>
        </w:tc>
      </w:tr>
      <w:tr w:rsidR="007B1517" w:rsidRPr="007B1517" w14:paraId="13F31B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4867B5" w14:textId="77777777" w:rsidR="007B1517" w:rsidRPr="007B1517" w:rsidRDefault="007B1517" w:rsidP="007B1517">
            <w:proofErr w:type="spellStart"/>
            <w:r w:rsidRPr="007B1517">
              <w:t>lat</w:t>
            </w:r>
            <w:proofErr w:type="spellEnd"/>
            <w:r w:rsidRPr="007B1517">
              <w:t> / </w:t>
            </w:r>
            <w:proofErr w:type="spellStart"/>
            <w:r w:rsidRPr="007B1517">
              <w:t>lng</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23BF7587" w14:textId="77777777" w:rsidR="007B1517" w:rsidRPr="007B1517" w:rsidRDefault="007B1517" w:rsidP="007B1517">
            <w:r w:rsidRPr="007B1517">
              <w:t>number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30C8FBE" w14:textId="77777777" w:rsidR="007B1517" w:rsidRPr="007B1517" w:rsidRDefault="007B1517" w:rsidP="007B1517">
            <w:pPr>
              <w:rPr>
                <w:lang w:val="fr-FR"/>
              </w:rPr>
            </w:pPr>
            <w:r w:rsidRPr="007B1517">
              <w:rPr>
                <w:lang w:val="fr-FR"/>
              </w:rPr>
              <w:t>Latitude/longitude for map placement</w:t>
            </w:r>
          </w:p>
        </w:tc>
      </w:tr>
      <w:tr w:rsidR="007B1517" w:rsidRPr="007B1517" w14:paraId="3D631D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6E2A49" w14:textId="77777777" w:rsidR="007B1517" w:rsidRPr="007B1517" w:rsidRDefault="007B1517" w:rsidP="007B1517">
            <w:r w:rsidRPr="007B1517">
              <w:t>stage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4D591F64" w14:textId="77777777" w:rsidR="007B1517" w:rsidRPr="007B1517" w:rsidRDefault="007B1517" w:rsidP="007B1517">
            <w:proofErr w:type="spellStart"/>
            <w:r w:rsidRPr="007B1517">
              <w:t>enum</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F161651" w14:textId="77777777" w:rsidR="007B1517" w:rsidRPr="007B1517" w:rsidRDefault="007B1517" w:rsidP="007B1517">
            <w:r w:rsidRPr="007B1517">
              <w:t>Pipeline / Procurement / Live Tender / Awarded</w:t>
            </w:r>
          </w:p>
        </w:tc>
      </w:tr>
      <w:tr w:rsidR="007B1517" w:rsidRPr="007B1517" w14:paraId="3658E75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6456CB" w14:textId="77777777" w:rsidR="007B1517" w:rsidRPr="007B1517" w:rsidRDefault="007B1517" w:rsidP="007B1517">
            <w:r w:rsidRPr="007B1517">
              <w:t>urgency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0A6269BD" w14:textId="77777777" w:rsidR="007B1517" w:rsidRPr="007B1517" w:rsidRDefault="007B1517" w:rsidP="007B1517">
            <w:proofErr w:type="spellStart"/>
            <w:r w:rsidRPr="007B1517">
              <w:t>enum</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C7F2FC7" w14:textId="77777777" w:rsidR="007B1517" w:rsidRPr="007B1517" w:rsidRDefault="007B1517" w:rsidP="007B1517">
            <w:r w:rsidRPr="007B1517">
              <w:t>High / Medium / Low</w:t>
            </w:r>
          </w:p>
        </w:tc>
      </w:tr>
      <w:tr w:rsidR="007B1517" w:rsidRPr="007B1517" w14:paraId="4052CC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B0E794" w14:textId="77777777" w:rsidR="007B1517" w:rsidRPr="007B1517" w:rsidRDefault="007B1517" w:rsidP="007B1517">
            <w:r w:rsidRPr="007B1517">
              <w:t>relevance</w:t>
            </w:r>
          </w:p>
        </w:tc>
        <w:tc>
          <w:tcPr>
            <w:tcW w:w="0" w:type="auto"/>
            <w:tcBorders>
              <w:top w:val="single" w:sz="2" w:space="0" w:color="auto"/>
              <w:left w:val="single" w:sz="2" w:space="0" w:color="auto"/>
              <w:bottom w:val="single" w:sz="2" w:space="0" w:color="auto"/>
              <w:right w:val="single" w:sz="6" w:space="0" w:color="auto"/>
            </w:tcBorders>
            <w:vAlign w:val="center"/>
            <w:hideMark/>
          </w:tcPr>
          <w:p w14:paraId="1CB0D7DC" w14:textId="77777777" w:rsidR="007B1517" w:rsidRPr="007B1517" w:rsidRDefault="007B1517" w:rsidP="007B1517">
            <w:r w:rsidRPr="007B1517">
              <w:t>integer (50–97)</w:t>
            </w:r>
          </w:p>
        </w:tc>
        <w:tc>
          <w:tcPr>
            <w:tcW w:w="0" w:type="auto"/>
            <w:tcBorders>
              <w:top w:val="single" w:sz="2" w:space="0" w:color="auto"/>
              <w:left w:val="single" w:sz="2" w:space="0" w:color="auto"/>
              <w:bottom w:val="single" w:sz="2" w:space="0" w:color="auto"/>
              <w:right w:val="single" w:sz="2" w:space="0" w:color="auto"/>
            </w:tcBorders>
            <w:vAlign w:val="center"/>
            <w:hideMark/>
          </w:tcPr>
          <w:p w14:paraId="4755C426" w14:textId="77777777" w:rsidR="007B1517" w:rsidRPr="007B1517" w:rsidRDefault="007B1517" w:rsidP="007B1517">
            <w:pPr>
              <w:rPr>
                <w:lang w:val="it-IT"/>
              </w:rPr>
            </w:pPr>
            <w:r w:rsidRPr="007B1517">
              <w:rPr>
                <w:lang w:val="it-IT"/>
              </w:rPr>
              <w:t>AI-generated GIA alignment score</w:t>
            </w:r>
          </w:p>
        </w:tc>
      </w:tr>
      <w:tr w:rsidR="007B1517" w:rsidRPr="007B1517" w14:paraId="28CFB2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80383D" w14:textId="77777777" w:rsidR="007B1517" w:rsidRPr="007B1517" w:rsidRDefault="007B1517" w:rsidP="007B1517">
            <w:r w:rsidRPr="007B1517">
              <w:lastRenderedPageBreak/>
              <w:t>value</w:t>
            </w:r>
          </w:p>
        </w:tc>
        <w:tc>
          <w:tcPr>
            <w:tcW w:w="0" w:type="auto"/>
            <w:tcBorders>
              <w:top w:val="single" w:sz="2" w:space="0" w:color="auto"/>
              <w:left w:val="single" w:sz="2" w:space="0" w:color="auto"/>
              <w:bottom w:val="single" w:sz="2" w:space="0" w:color="auto"/>
              <w:right w:val="single" w:sz="6" w:space="0" w:color="auto"/>
            </w:tcBorders>
            <w:vAlign w:val="center"/>
            <w:hideMark/>
          </w:tcPr>
          <w:p w14:paraId="28FA6583"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91514E7" w14:textId="77777777" w:rsidR="007B1517" w:rsidRPr="007B1517" w:rsidRDefault="007B1517" w:rsidP="007B1517">
            <w:r w:rsidRPr="007B1517">
              <w:t>Estimated total capital value (e.g. "£2.4bn")</w:t>
            </w:r>
          </w:p>
        </w:tc>
      </w:tr>
      <w:tr w:rsidR="007B1517" w:rsidRPr="007B1517" w14:paraId="45ECCE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F5C393" w14:textId="77777777" w:rsidR="007B1517" w:rsidRPr="007B1517" w:rsidRDefault="007B1517" w:rsidP="007B1517">
            <w:r w:rsidRPr="007B1517">
              <w:t>deadline</w:t>
            </w:r>
          </w:p>
        </w:tc>
        <w:tc>
          <w:tcPr>
            <w:tcW w:w="0" w:type="auto"/>
            <w:tcBorders>
              <w:top w:val="single" w:sz="2" w:space="0" w:color="auto"/>
              <w:left w:val="single" w:sz="2" w:space="0" w:color="auto"/>
              <w:bottom w:val="single" w:sz="2" w:space="0" w:color="auto"/>
              <w:right w:val="single" w:sz="6" w:space="0" w:color="auto"/>
            </w:tcBorders>
            <w:vAlign w:val="center"/>
            <w:hideMark/>
          </w:tcPr>
          <w:p w14:paraId="695CAA14"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2F5ACA4" w14:textId="77777777" w:rsidR="007B1517" w:rsidRPr="007B1517" w:rsidRDefault="007B1517" w:rsidP="007B1517">
            <w:r w:rsidRPr="007B1517">
              <w:t>Anticipated submission deadline or programme milestone (e.g. "Q3 2025")</w:t>
            </w:r>
          </w:p>
        </w:tc>
      </w:tr>
      <w:tr w:rsidR="007B1517" w:rsidRPr="007B1517" w14:paraId="0D77891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B00E7D" w14:textId="77777777" w:rsidR="007B1517" w:rsidRPr="007B1517" w:rsidRDefault="007B1517" w:rsidP="007B1517">
            <w:r w:rsidRPr="007B1517">
              <w:t>type</w:t>
            </w:r>
          </w:p>
        </w:tc>
        <w:tc>
          <w:tcPr>
            <w:tcW w:w="0" w:type="auto"/>
            <w:tcBorders>
              <w:top w:val="single" w:sz="2" w:space="0" w:color="auto"/>
              <w:left w:val="single" w:sz="2" w:space="0" w:color="auto"/>
              <w:bottom w:val="single" w:sz="2" w:space="0" w:color="auto"/>
              <w:right w:val="single" w:sz="6" w:space="0" w:color="auto"/>
            </w:tcBorders>
            <w:vAlign w:val="center"/>
            <w:hideMark/>
          </w:tcPr>
          <w:p w14:paraId="0528AA94"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424A917" w14:textId="77777777" w:rsidR="007B1517" w:rsidRPr="007B1517" w:rsidRDefault="007B1517" w:rsidP="007B1517">
            <w:r w:rsidRPr="007B1517">
              <w:t>Contract/delivery mechanism</w:t>
            </w:r>
          </w:p>
        </w:tc>
      </w:tr>
      <w:tr w:rsidR="007B1517" w:rsidRPr="007B1517" w14:paraId="5C7500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D3C207" w14:textId="77777777" w:rsidR="007B1517" w:rsidRPr="007B1517" w:rsidRDefault="007B1517" w:rsidP="007B1517">
            <w:r w:rsidRPr="007B1517">
              <w:t>source</w:t>
            </w:r>
          </w:p>
        </w:tc>
        <w:tc>
          <w:tcPr>
            <w:tcW w:w="0" w:type="auto"/>
            <w:tcBorders>
              <w:top w:val="single" w:sz="2" w:space="0" w:color="auto"/>
              <w:left w:val="single" w:sz="2" w:space="0" w:color="auto"/>
              <w:bottom w:val="single" w:sz="2" w:space="0" w:color="auto"/>
              <w:right w:val="single" w:sz="6" w:space="0" w:color="auto"/>
            </w:tcBorders>
            <w:vAlign w:val="center"/>
            <w:hideMark/>
          </w:tcPr>
          <w:p w14:paraId="7FC74BA0"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BAD2519" w14:textId="77777777" w:rsidR="007B1517" w:rsidRPr="007B1517" w:rsidRDefault="007B1517" w:rsidP="007B1517">
            <w:r w:rsidRPr="007B1517">
              <w:t>Named procurement portal where identified</w:t>
            </w:r>
          </w:p>
        </w:tc>
      </w:tr>
      <w:tr w:rsidR="007B1517" w:rsidRPr="007B1517" w14:paraId="28B1FE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94C539" w14:textId="77777777" w:rsidR="007B1517" w:rsidRPr="007B1517" w:rsidRDefault="007B1517" w:rsidP="007B1517">
            <w:r w:rsidRPr="007B1517">
              <w:t>overview</w:t>
            </w:r>
          </w:p>
        </w:tc>
        <w:tc>
          <w:tcPr>
            <w:tcW w:w="0" w:type="auto"/>
            <w:tcBorders>
              <w:top w:val="single" w:sz="2" w:space="0" w:color="auto"/>
              <w:left w:val="single" w:sz="2" w:space="0" w:color="auto"/>
              <w:bottom w:val="single" w:sz="2" w:space="0" w:color="auto"/>
              <w:right w:val="single" w:sz="6" w:space="0" w:color="auto"/>
            </w:tcBorders>
            <w:vAlign w:val="center"/>
            <w:hideMark/>
          </w:tcPr>
          <w:p w14:paraId="595ECD62"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4FA12DA" w14:textId="77777777" w:rsidR="007B1517" w:rsidRPr="007B1517" w:rsidRDefault="007B1517" w:rsidP="007B1517">
            <w:r w:rsidRPr="007B1517">
              <w:t>2–3 sentence project description</w:t>
            </w:r>
          </w:p>
        </w:tc>
      </w:tr>
      <w:tr w:rsidR="007B1517" w:rsidRPr="007B1517" w14:paraId="7BE470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797AA7" w14:textId="77777777" w:rsidR="007B1517" w:rsidRPr="007B1517" w:rsidRDefault="007B1517" w:rsidP="007B1517">
            <w:r w:rsidRPr="007B1517">
              <w:t>context</w:t>
            </w:r>
          </w:p>
        </w:tc>
        <w:tc>
          <w:tcPr>
            <w:tcW w:w="0" w:type="auto"/>
            <w:tcBorders>
              <w:top w:val="single" w:sz="2" w:space="0" w:color="auto"/>
              <w:left w:val="single" w:sz="2" w:space="0" w:color="auto"/>
              <w:bottom w:val="single" w:sz="2" w:space="0" w:color="auto"/>
              <w:right w:val="single" w:sz="6" w:space="0" w:color="auto"/>
            </w:tcBorders>
            <w:vAlign w:val="center"/>
            <w:hideMark/>
          </w:tcPr>
          <w:p w14:paraId="02632C38" w14:textId="77777777" w:rsidR="007B1517" w:rsidRPr="007B1517" w:rsidRDefault="007B1517" w:rsidP="007B1517">
            <w:r w:rsidRPr="007B1517">
              <w:t>string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1A401C3" w14:textId="77777777" w:rsidR="007B1517" w:rsidRPr="007B1517" w:rsidRDefault="007B1517" w:rsidP="007B1517">
            <w:r w:rsidRPr="007B1517">
              <w:t>2–3 sentence strategic context</w:t>
            </w:r>
          </w:p>
        </w:tc>
      </w:tr>
      <w:tr w:rsidR="007B1517" w:rsidRPr="007B1517" w14:paraId="561222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AE8E1D" w14:textId="77777777" w:rsidR="007B1517" w:rsidRPr="007B1517" w:rsidRDefault="007B1517" w:rsidP="007B1517">
            <w:proofErr w:type="spellStart"/>
            <w:r w:rsidRPr="007B1517">
              <w:t>gia</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148EA636" w14:textId="77777777" w:rsidR="007B1517" w:rsidRPr="007B1517" w:rsidRDefault="007B1517" w:rsidP="007B1517">
            <w:r w:rsidRPr="007B1517">
              <w:t>object</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B1785" w14:textId="77777777" w:rsidR="007B1517" w:rsidRPr="007B1517" w:rsidRDefault="007B1517" w:rsidP="007B1517">
            <w:r w:rsidRPr="007B1517">
              <w:t>Four-dimensional fit assessment (see §7)</w:t>
            </w:r>
          </w:p>
        </w:tc>
      </w:tr>
    </w:tbl>
    <w:p w14:paraId="10B34904" w14:textId="77777777" w:rsidR="007B1517" w:rsidRPr="007B1517" w:rsidRDefault="007B1517" w:rsidP="007B1517">
      <w:r w:rsidRPr="007B1517">
        <w:t>The prompt enforces all 14 fields as mandatory. Missing fields cause the AI to return incomplete objects, which the parser attempts to include anyway. Values are indicative and flagged as requiring independent verification before engagement.</w:t>
      </w:r>
    </w:p>
    <w:p w14:paraId="4904E4D0" w14:textId="77777777" w:rsidR="007B1517" w:rsidRPr="007B1517" w:rsidRDefault="007B1517" w:rsidP="007B1517">
      <w:r w:rsidRPr="007B1517">
        <w:pict w14:anchorId="072C68E9">
          <v:rect id="_x0000_i1109" style="width:0;height:0" o:hralign="center" o:hrstd="t" o:hr="t" fillcolor="#a0a0a0" stroked="f"/>
        </w:pict>
      </w:r>
    </w:p>
    <w:p w14:paraId="5BCAC88B" w14:textId="77777777" w:rsidR="007B1517" w:rsidRPr="007B1517" w:rsidRDefault="007B1517" w:rsidP="007B1517">
      <w:pPr>
        <w:rPr>
          <w:b/>
          <w:bCs/>
        </w:rPr>
      </w:pPr>
      <w:r w:rsidRPr="007B1517">
        <w:rPr>
          <w:b/>
          <w:bCs/>
        </w:rPr>
        <w:t>7. Relevance Score — Design and Logic</w:t>
      </w:r>
    </w:p>
    <w:p w14:paraId="0D7C5331" w14:textId="77777777" w:rsidR="007B1517" w:rsidRPr="007B1517" w:rsidRDefault="007B1517" w:rsidP="007B1517">
      <w:pPr>
        <w:rPr>
          <w:b/>
          <w:bCs/>
        </w:rPr>
      </w:pPr>
      <w:r w:rsidRPr="007B1517">
        <w:rPr>
          <w:b/>
          <w:bCs/>
        </w:rPr>
        <w:t>7.1 What It Measures</w:t>
      </w:r>
    </w:p>
    <w:p w14:paraId="75903858" w14:textId="77777777" w:rsidR="007B1517" w:rsidRPr="007B1517" w:rsidRDefault="007B1517" w:rsidP="007B1517">
      <w:r w:rsidRPr="007B1517">
        <w:t>The </w:t>
      </w:r>
      <w:r w:rsidRPr="007B1517">
        <w:rPr>
          <w:b/>
          <w:bCs/>
        </w:rPr>
        <w:t>Relevance Score</w:t>
      </w:r>
      <w:r w:rsidRPr="007B1517">
        <w:t> (0–100) is an AI-generated integer indicating how closely an opportunity matches GIA's core competencies. The prompt instructs the AI to return values between 50 and 97 — a deliberate floor and ceiling. The floor (50) ensures all returned results have at least some relevance; the ceiling (97) prevents the AI from claiming perfect confidence.</w:t>
      </w:r>
    </w:p>
    <w:p w14:paraId="38CE74FD" w14:textId="77777777" w:rsidR="007B1517" w:rsidRPr="007B1517" w:rsidRDefault="007B1517" w:rsidP="007B1517">
      <w:r w:rsidRPr="007B1517">
        <w:t>The factors the AI is implicitly weighing when generating this score include:</w:t>
      </w:r>
    </w:p>
    <w:p w14:paraId="636AF2D6" w14:textId="77777777" w:rsidR="007B1517" w:rsidRPr="007B1517" w:rsidRDefault="007B1517" w:rsidP="007B1517">
      <w:pPr>
        <w:numPr>
          <w:ilvl w:val="0"/>
          <w:numId w:val="5"/>
        </w:numPr>
      </w:pPr>
      <w:r w:rsidRPr="007B1517">
        <w:t>Sector alignment with GIA's 7 specialisms</w:t>
      </w:r>
    </w:p>
    <w:p w14:paraId="18F2EF49" w14:textId="77777777" w:rsidR="007B1517" w:rsidRPr="007B1517" w:rsidRDefault="007B1517" w:rsidP="007B1517">
      <w:pPr>
        <w:numPr>
          <w:ilvl w:val="0"/>
          <w:numId w:val="5"/>
        </w:numPr>
      </w:pPr>
      <w:r w:rsidRPr="007B1517">
        <w:t>Project scale relative to the $50M minimum threshold</w:t>
      </w:r>
    </w:p>
    <w:p w14:paraId="3AD27A71" w14:textId="77777777" w:rsidR="007B1517" w:rsidRPr="007B1517" w:rsidRDefault="007B1517" w:rsidP="007B1517">
      <w:pPr>
        <w:numPr>
          <w:ilvl w:val="0"/>
          <w:numId w:val="5"/>
        </w:numPr>
      </w:pPr>
      <w:r w:rsidRPr="007B1517">
        <w:t>Geography (proximity to GIA's established markets)</w:t>
      </w:r>
    </w:p>
    <w:p w14:paraId="37B0205C" w14:textId="77777777" w:rsidR="007B1517" w:rsidRPr="007B1517" w:rsidRDefault="007B1517" w:rsidP="007B1517">
      <w:pPr>
        <w:numPr>
          <w:ilvl w:val="0"/>
          <w:numId w:val="5"/>
        </w:numPr>
      </w:pPr>
      <w:r w:rsidRPr="007B1517">
        <w:t>Procurement stage (Live Tender scores higher than Pipeline for immediate relevance)</w:t>
      </w:r>
    </w:p>
    <w:p w14:paraId="7AD6450E" w14:textId="77777777" w:rsidR="007B1517" w:rsidRPr="007B1517" w:rsidRDefault="007B1517" w:rsidP="007B1517">
      <w:pPr>
        <w:numPr>
          <w:ilvl w:val="0"/>
          <w:numId w:val="5"/>
        </w:numPr>
      </w:pPr>
      <w:r w:rsidRPr="007B1517">
        <w:t>Nature of the procuring client (government agency vs. private developer, etc.)</w:t>
      </w:r>
    </w:p>
    <w:p w14:paraId="09242FE9" w14:textId="77777777" w:rsidR="007B1517" w:rsidRPr="007B1517" w:rsidRDefault="007B1517" w:rsidP="007B1517">
      <w:pPr>
        <w:rPr>
          <w:b/>
          <w:bCs/>
        </w:rPr>
      </w:pPr>
      <w:r w:rsidRPr="007B1517">
        <w:rPr>
          <w:b/>
          <w:bCs/>
        </w:rPr>
        <w:t>7.2 Interpretation Thresholds</w:t>
      </w:r>
    </w:p>
    <w:p w14:paraId="4C4EC101" w14:textId="77777777" w:rsidR="007B1517" w:rsidRPr="007B1517" w:rsidRDefault="007B1517" w:rsidP="007B1517">
      <w:r w:rsidRPr="007B1517">
        <w:t>The application defines three interpretation bands:</w:t>
      </w:r>
    </w:p>
    <w:p w14:paraId="044F2885" w14:textId="77777777" w:rsidR="007B1517" w:rsidRPr="007B1517" w:rsidRDefault="007B1517" w:rsidP="007B1517">
      <w:pPr>
        <w:numPr>
          <w:ilvl w:val="0"/>
          <w:numId w:val="6"/>
        </w:numPr>
      </w:pPr>
      <w:r w:rsidRPr="007B1517">
        <w:rPr>
          <w:b/>
          <w:bCs/>
        </w:rPr>
        <w:t>80–100</w:t>
      </w:r>
      <w:r w:rsidRPr="007B1517">
        <w:t>: Strong strategic fit — prioritise</w:t>
      </w:r>
    </w:p>
    <w:p w14:paraId="6BD23208" w14:textId="77777777" w:rsidR="007B1517" w:rsidRPr="007B1517" w:rsidRDefault="007B1517" w:rsidP="007B1517">
      <w:pPr>
        <w:numPr>
          <w:ilvl w:val="0"/>
          <w:numId w:val="6"/>
        </w:numPr>
      </w:pPr>
      <w:r w:rsidRPr="007B1517">
        <w:rPr>
          <w:b/>
          <w:bCs/>
        </w:rPr>
        <w:t>60–79</w:t>
      </w:r>
      <w:r w:rsidRPr="007B1517">
        <w:t>: Worth monitoring — flag for review</w:t>
      </w:r>
    </w:p>
    <w:p w14:paraId="79D65430" w14:textId="77777777" w:rsidR="007B1517" w:rsidRPr="007B1517" w:rsidRDefault="007B1517" w:rsidP="007B1517">
      <w:pPr>
        <w:numPr>
          <w:ilvl w:val="0"/>
          <w:numId w:val="6"/>
        </w:numPr>
      </w:pPr>
      <w:r w:rsidRPr="007B1517">
        <w:rPr>
          <w:b/>
          <w:bCs/>
        </w:rPr>
        <w:t>Below 60</w:t>
      </w:r>
      <w:r w:rsidRPr="007B1517">
        <w:t>: Peripheral — low strategic alignment</w:t>
      </w:r>
    </w:p>
    <w:p w14:paraId="2E68BC3C" w14:textId="77777777" w:rsidR="007B1517" w:rsidRPr="007B1517" w:rsidRDefault="007B1517" w:rsidP="007B1517">
      <w:pPr>
        <w:rPr>
          <w:b/>
          <w:bCs/>
        </w:rPr>
      </w:pPr>
      <w:r w:rsidRPr="007B1517">
        <w:rPr>
          <w:b/>
          <w:bCs/>
        </w:rPr>
        <w:t>7.3 Visual Representation</w:t>
      </w:r>
    </w:p>
    <w:p w14:paraId="030A1AF3" w14:textId="77777777" w:rsidR="007B1517" w:rsidRPr="007B1517" w:rsidRDefault="007B1517" w:rsidP="007B1517">
      <w:r w:rsidRPr="007B1517">
        <w:t>The relevance score is displayed as an </w:t>
      </w:r>
      <w:r w:rsidRPr="007B1517">
        <w:rPr>
          <w:b/>
          <w:bCs/>
        </w:rPr>
        <w:t>SVG ring gauge</w:t>
      </w:r>
      <w:r w:rsidRPr="007B1517">
        <w:t> (44×44px). The ring uses:</w:t>
      </w:r>
    </w:p>
    <w:p w14:paraId="35B884E4" w14:textId="77777777" w:rsidR="007B1517" w:rsidRPr="007B1517" w:rsidRDefault="007B1517" w:rsidP="007B1517">
      <w:pPr>
        <w:numPr>
          <w:ilvl w:val="0"/>
          <w:numId w:val="7"/>
        </w:numPr>
      </w:pPr>
      <w:r w:rsidRPr="007B1517">
        <w:lastRenderedPageBreak/>
        <w:t>Radius: 17px</w:t>
      </w:r>
    </w:p>
    <w:p w14:paraId="02CEE38B" w14:textId="77777777" w:rsidR="007B1517" w:rsidRPr="007B1517" w:rsidRDefault="007B1517" w:rsidP="007B1517">
      <w:pPr>
        <w:numPr>
          <w:ilvl w:val="0"/>
          <w:numId w:val="7"/>
        </w:numPr>
      </w:pPr>
      <w:r w:rsidRPr="007B1517">
        <w:t>Circumference: 2π × 17 ≈ 106.81px</w:t>
      </w:r>
    </w:p>
    <w:p w14:paraId="55FC0544" w14:textId="77777777" w:rsidR="007B1517" w:rsidRPr="007B1517" w:rsidRDefault="007B1517" w:rsidP="007B1517">
      <w:pPr>
        <w:numPr>
          <w:ilvl w:val="0"/>
          <w:numId w:val="7"/>
        </w:numPr>
      </w:pPr>
      <w:r w:rsidRPr="007B1517">
        <w:t>Stroke offset: (1 - score/100) × 106.81</w:t>
      </w:r>
    </w:p>
    <w:p w14:paraId="4062DD45" w14:textId="77777777" w:rsidR="007B1517" w:rsidRPr="007B1517" w:rsidRDefault="007B1517" w:rsidP="007B1517">
      <w:pPr>
        <w:numPr>
          <w:ilvl w:val="0"/>
          <w:numId w:val="7"/>
        </w:numPr>
      </w:pPr>
      <w:r w:rsidRPr="007B1517">
        <w:t>Colour: green (#00E676) for scores ≥75, amber (#FFAB40) for 55–74, red (#FF5252) for below 55</w:t>
      </w:r>
    </w:p>
    <w:p w14:paraId="2BCF6933" w14:textId="77777777" w:rsidR="007B1517" w:rsidRPr="007B1517" w:rsidRDefault="007B1517" w:rsidP="007B1517">
      <w:r w:rsidRPr="007B1517">
        <w:pict w14:anchorId="4DC16658">
          <v:rect id="_x0000_i1110" style="width:0;height:0" o:hralign="center" o:hrstd="t" o:hr="t" fillcolor="#a0a0a0" stroked="f"/>
        </w:pict>
      </w:r>
    </w:p>
    <w:p w14:paraId="4F0387CB" w14:textId="77777777" w:rsidR="007B1517" w:rsidRPr="007B1517" w:rsidRDefault="007B1517" w:rsidP="007B1517">
      <w:pPr>
        <w:rPr>
          <w:b/>
          <w:bCs/>
        </w:rPr>
      </w:pPr>
      <w:r w:rsidRPr="007B1517">
        <w:rPr>
          <w:b/>
          <w:bCs/>
        </w:rPr>
        <w:t>8. GIA Fit Assessment — Four Dimensions</w:t>
      </w:r>
    </w:p>
    <w:p w14:paraId="557D4E69" w14:textId="77777777" w:rsidR="007B1517" w:rsidRPr="007B1517" w:rsidRDefault="007B1517" w:rsidP="007B1517">
      <w:r w:rsidRPr="007B1517">
        <w:t>Beyond the overall Relevance Score, each opportunity includes a </w:t>
      </w:r>
      <w:r w:rsidRPr="007B1517">
        <w:rPr>
          <w:b/>
          <w:bCs/>
        </w:rPr>
        <w:t>GIA Fit Assessment</w:t>
      </w:r>
      <w:r w:rsidRPr="007B1517">
        <w:t> with four separate sub-scores and a qualitative verdict. This is rendered as the </w:t>
      </w:r>
      <w:proofErr w:type="spellStart"/>
      <w:r w:rsidRPr="007B1517">
        <w:t>gia</w:t>
      </w:r>
      <w:proofErr w:type="spellEnd"/>
      <w:r w:rsidRPr="007B1517">
        <w:t> object in the returned JSON.</w:t>
      </w:r>
    </w:p>
    <w:p w14:paraId="4335FFEA" w14:textId="77777777" w:rsidR="007B1517" w:rsidRPr="007B1517" w:rsidRDefault="007B1517" w:rsidP="007B1517">
      <w:pPr>
        <w:rPr>
          <w:b/>
          <w:bCs/>
        </w:rPr>
      </w:pPr>
      <w:r w:rsidRPr="007B1517">
        <w:rPr>
          <w:b/>
          <w:bCs/>
        </w:rPr>
        <w:t>8.1 The Four Dimensions</w:t>
      </w:r>
    </w:p>
    <w:p w14:paraId="09A791D2" w14:textId="77777777" w:rsidR="007B1517" w:rsidRPr="007B1517" w:rsidRDefault="007B1517" w:rsidP="007B1517">
      <w:r w:rsidRPr="007B1517">
        <w:rPr>
          <w:b/>
          <w:bCs/>
        </w:rPr>
        <w:t>Sector Fit (0–100)</w:t>
      </w:r>
      <w:r w:rsidRPr="007B1517">
        <w:br/>
        <w:t>Alignment with GIA's seven sector specialisms. A score of 100 means the opportunity sits squarely in GIA's core offering (e.g. a metro station design competition). A score of 40 means partial alignment (e.g. a large building project in an adjacent sector).</w:t>
      </w:r>
    </w:p>
    <w:p w14:paraId="7C91E8A5" w14:textId="77777777" w:rsidR="007B1517" w:rsidRPr="007B1517" w:rsidRDefault="007B1517" w:rsidP="007B1517">
      <w:r w:rsidRPr="007B1517">
        <w:rPr>
          <w:b/>
          <w:bCs/>
        </w:rPr>
        <w:t>Scale Fit (0–100)</w:t>
      </w:r>
      <w:r w:rsidRPr="007B1517">
        <w:br/>
        <w:t>Whether the project's value, complexity and duration match GIA's capacity and track record. Very small packages and very large programmes where GIA would be a minor sub-consultant may score lower than mid-scale projects where GIA can play a lead consultancy role.</w:t>
      </w:r>
    </w:p>
    <w:p w14:paraId="04970D76" w14:textId="77777777" w:rsidR="007B1517" w:rsidRPr="007B1517" w:rsidRDefault="007B1517" w:rsidP="007B1517">
      <w:r w:rsidRPr="007B1517">
        <w:rPr>
          <w:b/>
          <w:bCs/>
        </w:rPr>
        <w:t>Geography Fit (0–100)</w:t>
      </w:r>
      <w:r w:rsidRPr="007B1517">
        <w:br/>
        <w:t>GIA's existing presence, market knowledge and relationships in the project's region. Established markets — UK, Europe, GCC, Southeast Asia — score higher. Frontier markets with limited prior GIA engagement score lower, reflecting the higher cost and lower win probability of pursuing work in unfamiliar jurisdictions.</w:t>
      </w:r>
    </w:p>
    <w:p w14:paraId="31EC23BC" w14:textId="77777777" w:rsidR="007B1517" w:rsidRPr="007B1517" w:rsidRDefault="007B1517" w:rsidP="007B1517">
      <w:r w:rsidRPr="007B1517">
        <w:rPr>
          <w:b/>
          <w:bCs/>
        </w:rPr>
        <w:t>Win Probability (0–100)</w:t>
      </w:r>
      <w:r w:rsidRPr="007B1517">
        <w:br/>
        <w:t>The AI's estimate of the likelihood of a successful bid outcome. This synthesises sector fit, geography, competition level (inferred from procurement type and market), and stage. The application is explicit that this is indicative only — it does not account for incumbent advantages, specific client relationships, or internal GIA resource availability.</w:t>
      </w:r>
    </w:p>
    <w:p w14:paraId="4B23C228" w14:textId="77777777" w:rsidR="007B1517" w:rsidRPr="007B1517" w:rsidRDefault="007B1517" w:rsidP="007B1517">
      <w:pPr>
        <w:rPr>
          <w:b/>
          <w:bCs/>
        </w:rPr>
      </w:pPr>
      <w:r w:rsidRPr="007B1517">
        <w:rPr>
          <w:b/>
          <w:bCs/>
        </w:rPr>
        <w:t>8.2 Colour Thresholds for Bar Visualisation</w:t>
      </w:r>
    </w:p>
    <w:p w14:paraId="35DC50B9" w14:textId="77777777" w:rsidR="007B1517" w:rsidRPr="007B1517" w:rsidRDefault="007B1517" w:rsidP="007B1517">
      <w:r w:rsidRPr="007B1517">
        <w:t>Each fit score is displayed as a 4px horizontal bar:</w:t>
      </w:r>
    </w:p>
    <w:p w14:paraId="60119B07" w14:textId="77777777" w:rsidR="007B1517" w:rsidRPr="007B1517" w:rsidRDefault="007B1517" w:rsidP="007B1517">
      <w:pPr>
        <w:numPr>
          <w:ilvl w:val="0"/>
          <w:numId w:val="8"/>
        </w:numPr>
      </w:pPr>
      <w:r w:rsidRPr="007B1517">
        <w:rPr>
          <w:b/>
          <w:bCs/>
        </w:rPr>
        <w:t>≥70</w:t>
      </w:r>
      <w:r w:rsidRPr="007B1517">
        <w:t>: Green (#00E676) — high</w:t>
      </w:r>
    </w:p>
    <w:p w14:paraId="1E7542DF" w14:textId="77777777" w:rsidR="007B1517" w:rsidRPr="007B1517" w:rsidRDefault="007B1517" w:rsidP="007B1517">
      <w:pPr>
        <w:numPr>
          <w:ilvl w:val="0"/>
          <w:numId w:val="8"/>
        </w:numPr>
      </w:pPr>
      <w:r w:rsidRPr="007B1517">
        <w:rPr>
          <w:b/>
          <w:bCs/>
        </w:rPr>
        <w:t>45–69</w:t>
      </w:r>
      <w:r w:rsidRPr="007B1517">
        <w:t>: Amber (#FFAB40) — medium</w:t>
      </w:r>
    </w:p>
    <w:p w14:paraId="13932AFF" w14:textId="77777777" w:rsidR="007B1517" w:rsidRPr="007B1517" w:rsidRDefault="007B1517" w:rsidP="007B1517">
      <w:pPr>
        <w:numPr>
          <w:ilvl w:val="0"/>
          <w:numId w:val="8"/>
        </w:numPr>
      </w:pPr>
      <w:r w:rsidRPr="007B1517">
        <w:rPr>
          <w:b/>
          <w:bCs/>
        </w:rPr>
        <w:t>&lt;45</w:t>
      </w:r>
      <w:r w:rsidRPr="007B1517">
        <w:t>: Red (#FF5252) — low</w:t>
      </w:r>
    </w:p>
    <w:p w14:paraId="0FE54524" w14:textId="77777777" w:rsidR="007B1517" w:rsidRPr="007B1517" w:rsidRDefault="007B1517" w:rsidP="007B1517">
      <w:pPr>
        <w:rPr>
          <w:b/>
          <w:bCs/>
        </w:rPr>
      </w:pPr>
      <w:r w:rsidRPr="007B1517">
        <w:rPr>
          <w:b/>
          <w:bCs/>
        </w:rPr>
        <w:t>8.3 Assessment Verdict</w:t>
      </w:r>
    </w:p>
    <w:p w14:paraId="699A3B03" w14:textId="77777777" w:rsidR="007B1517" w:rsidRPr="007B1517" w:rsidRDefault="007B1517" w:rsidP="007B1517">
      <w:r w:rsidRPr="007B1517">
        <w:t>A one-sentence qualitative summary synthesising all four scores into an actionable recommendation. The prompt instructs the AI to produce verdicts that typically read as: </w:t>
      </w:r>
      <w:r w:rsidRPr="007B1517">
        <w:rPr>
          <w:i/>
          <w:iCs/>
        </w:rPr>
        <w:t>pursue</w:t>
      </w:r>
      <w:r w:rsidRPr="007B1517">
        <w:t>, </w:t>
      </w:r>
      <w:r w:rsidRPr="007B1517">
        <w:rPr>
          <w:i/>
          <w:iCs/>
        </w:rPr>
        <w:t>monitor</w:t>
      </w:r>
      <w:r w:rsidRPr="007B1517">
        <w:t>, or </w:t>
      </w:r>
      <w:r w:rsidRPr="007B1517">
        <w:rPr>
          <w:i/>
          <w:iCs/>
        </w:rPr>
        <w:t>deprioritise</w:t>
      </w:r>
      <w:r w:rsidRPr="007B1517">
        <w:t>, with brief supporting rationale.</w:t>
      </w:r>
    </w:p>
    <w:p w14:paraId="5CD6C020" w14:textId="77777777" w:rsidR="007B1517" w:rsidRPr="007B1517" w:rsidRDefault="007B1517" w:rsidP="007B1517">
      <w:r w:rsidRPr="007B1517">
        <w:lastRenderedPageBreak/>
        <w:pict w14:anchorId="0F80248D">
          <v:rect id="_x0000_i1111" style="width:0;height:0" o:hralign="center" o:hrstd="t" o:hr="t" fillcolor="#a0a0a0" stroked="f"/>
        </w:pict>
      </w:r>
    </w:p>
    <w:p w14:paraId="359563E4" w14:textId="77777777" w:rsidR="007B1517" w:rsidRPr="007B1517" w:rsidRDefault="007B1517" w:rsidP="007B1517">
      <w:pPr>
        <w:rPr>
          <w:b/>
          <w:bCs/>
        </w:rPr>
      </w:pPr>
      <w:r w:rsidRPr="007B1517">
        <w:rPr>
          <w:b/>
          <w:bCs/>
        </w:rPr>
        <w:t>9. Project Stage Classification</w:t>
      </w:r>
    </w:p>
    <w:p w14:paraId="3F25FA9E" w14:textId="77777777" w:rsidR="007B1517" w:rsidRPr="007B1517" w:rsidRDefault="007B1517" w:rsidP="007B1517">
      <w:r w:rsidRPr="007B1517">
        <w:t>Four stages are defined, representing a project's position in the procurement lifecycle:</w:t>
      </w:r>
    </w:p>
    <w:p w14:paraId="2F0C629B" w14:textId="77777777" w:rsidR="007B1517" w:rsidRPr="007B1517" w:rsidRDefault="007B1517" w:rsidP="007B1517">
      <w:r w:rsidRPr="007B1517">
        <w:rPr>
          <w:b/>
          <w:bCs/>
        </w:rPr>
        <w:t>Pipeline (blue badge)</w:t>
      </w:r>
      <w:r w:rsidRPr="007B1517">
        <w:br/>
        <w:t>Publicly announced or included in a government investment plan. Formal procurement has not commenced. The highest-value stage for GIA because it allows early client engagement, teaming conversations and bid positioning before any competition has crystallised. No deadline exists yet.</w:t>
      </w:r>
    </w:p>
    <w:p w14:paraId="092F9AAC" w14:textId="77777777" w:rsidR="007B1517" w:rsidRPr="007B1517" w:rsidRDefault="007B1517" w:rsidP="007B1517">
      <w:r w:rsidRPr="007B1517">
        <w:rPr>
          <w:b/>
          <w:bCs/>
        </w:rPr>
        <w:t>Procurement (amber badge)</w:t>
      </w:r>
      <w:r w:rsidRPr="007B1517">
        <w:br/>
        <w:t>Actively in pre-tender phase. PQQs, EOIs or ITTs have been issued or are imminent. A formal engagement process is underway. Action is required but there is typically still time to complete pre-qualification and initiate teaming.</w:t>
      </w:r>
    </w:p>
    <w:p w14:paraId="024D5B1B" w14:textId="77777777" w:rsidR="007B1517" w:rsidRPr="007B1517" w:rsidRDefault="007B1517" w:rsidP="007B1517">
      <w:r w:rsidRPr="007B1517">
        <w:rPr>
          <w:b/>
          <w:bCs/>
        </w:rPr>
        <w:t>Live Tender (cyan badge)</w:t>
      </w:r>
      <w:r w:rsidRPr="007B1517">
        <w:br/>
        <w:t>A formal tender is currently open. Time-critical — a submission deadline is active. If GIA is not already engaged, bid preparation must begin immediately. This stage has the highest urgency but the least room for relationship-building.</w:t>
      </w:r>
    </w:p>
    <w:p w14:paraId="6CACCB23" w14:textId="77777777" w:rsidR="007B1517" w:rsidRPr="007B1517" w:rsidRDefault="007B1517" w:rsidP="007B1517">
      <w:r w:rsidRPr="007B1517">
        <w:rPr>
          <w:b/>
          <w:bCs/>
        </w:rPr>
        <w:t>Awarded (red badge)</w:t>
      </w:r>
      <w:r w:rsidRPr="007B1517">
        <w:br/>
        <w:t>Contract publicly awarded. Included for market intelligence: to understand who won, at what value, which delivery model was selected, and what client preferences and competitive dynamics look like. May also indicate follow-on packages or variation opportunities.</w:t>
      </w:r>
    </w:p>
    <w:p w14:paraId="3BF9DDA0" w14:textId="77777777" w:rsidR="007B1517" w:rsidRPr="007B1517" w:rsidRDefault="007B1517" w:rsidP="007B1517">
      <w:r w:rsidRPr="007B1517">
        <w:pict w14:anchorId="4206DBE3">
          <v:rect id="_x0000_i1112" style="width:0;height:0" o:hralign="center" o:hrstd="t" o:hr="t" fillcolor="#a0a0a0" stroked="f"/>
        </w:pict>
      </w:r>
    </w:p>
    <w:p w14:paraId="7BB820DB" w14:textId="77777777" w:rsidR="007B1517" w:rsidRPr="007B1517" w:rsidRDefault="007B1517" w:rsidP="007B1517">
      <w:pPr>
        <w:rPr>
          <w:b/>
          <w:bCs/>
        </w:rPr>
      </w:pPr>
      <w:r w:rsidRPr="007B1517">
        <w:rPr>
          <w:b/>
          <w:bCs/>
        </w:rPr>
        <w:t>10. Urgency Classification</w:t>
      </w:r>
    </w:p>
    <w:p w14:paraId="61D17AAD" w14:textId="77777777" w:rsidR="007B1517" w:rsidRPr="007B1517" w:rsidRDefault="007B1517" w:rsidP="007B1517">
      <w:r w:rsidRPr="007B1517">
        <w:t>Three urgency levels reflect the time sensitivity of engagement:</w:t>
      </w:r>
    </w:p>
    <w:p w14:paraId="3C5C2846" w14:textId="77777777" w:rsidR="007B1517" w:rsidRPr="007B1517" w:rsidRDefault="007B1517" w:rsidP="007B1517">
      <w:r w:rsidRPr="007B1517">
        <w:rPr>
          <w:b/>
          <w:bCs/>
        </w:rPr>
        <w:t>High (red)</w:t>
      </w:r>
      <w:r w:rsidRPr="007B1517">
        <w:br/>
        <w:t>Live or imminent tender with a deadline within approximately 90 days, or a programme where the window for client engagement is closing rapidly. Requires immediate attention. A pre-existing client relationship is almost certainly necessary for High urgency opportunities to be competitive.</w:t>
      </w:r>
    </w:p>
    <w:p w14:paraId="3681CEB6" w14:textId="77777777" w:rsidR="007B1517" w:rsidRPr="007B1517" w:rsidRDefault="007B1517" w:rsidP="007B1517">
      <w:r w:rsidRPr="007B1517">
        <w:rPr>
          <w:b/>
          <w:bCs/>
        </w:rPr>
        <w:t>Medium (amber)</w:t>
      </w:r>
      <w:r w:rsidRPr="007B1517">
        <w:br/>
        <w:t>Procurement underway or expected within 3–9 months. Sufficient time to complete pre-qualification, initiate teaming discussions, and develop a full pursuit strategy. Described in the application as "the recommended action window."</w:t>
      </w:r>
    </w:p>
    <w:p w14:paraId="2CE3E852" w14:textId="77777777" w:rsidR="007B1517" w:rsidRPr="007B1517" w:rsidRDefault="007B1517" w:rsidP="007B1517">
      <w:r w:rsidRPr="007B1517">
        <w:rPr>
          <w:b/>
          <w:bCs/>
        </w:rPr>
        <w:t>Low (purple)</w:t>
      </w:r>
      <w:r w:rsidRPr="007B1517">
        <w:br/>
        <w:t>Pipeline or early-stage opportunity with procurement expected beyond 9 months, or a recently awarded contract flagged for intelligence. Valuable for long-range capability development, market mapping and proactive client relationship investment.</w:t>
      </w:r>
    </w:p>
    <w:p w14:paraId="3E546137" w14:textId="77777777" w:rsidR="007B1517" w:rsidRPr="007B1517" w:rsidRDefault="007B1517" w:rsidP="007B1517">
      <w:r w:rsidRPr="007B1517">
        <w:pict w14:anchorId="1C2E62D1">
          <v:rect id="_x0000_i1113" style="width:0;height:0" o:hralign="center" o:hrstd="t" o:hr="t" fillcolor="#a0a0a0" stroked="f"/>
        </w:pict>
      </w:r>
    </w:p>
    <w:p w14:paraId="46224323" w14:textId="77777777" w:rsidR="007B1517" w:rsidRPr="007B1517" w:rsidRDefault="007B1517" w:rsidP="007B1517">
      <w:pPr>
        <w:rPr>
          <w:b/>
          <w:bCs/>
        </w:rPr>
      </w:pPr>
      <w:r w:rsidRPr="007B1517">
        <w:rPr>
          <w:b/>
          <w:bCs/>
        </w:rPr>
        <w:t>11. Data Outputs</w:t>
      </w:r>
    </w:p>
    <w:p w14:paraId="2B766C7C" w14:textId="77777777" w:rsidR="007B1517" w:rsidRPr="007B1517" w:rsidRDefault="007B1517" w:rsidP="007B1517">
      <w:r w:rsidRPr="007B1517">
        <w:lastRenderedPageBreak/>
        <w:t>Each scan automatically triggers a </w:t>
      </w:r>
      <w:r w:rsidRPr="007B1517">
        <w:rPr>
          <w:b/>
          <w:bCs/>
        </w:rPr>
        <w:t>JSON download</w:t>
      </w:r>
      <w:r w:rsidRPr="007B1517">
        <w:t> immediately on completion — one file per sector scan. The filename convention is {timestamp}_{sector-slug}.</w:t>
      </w:r>
      <w:proofErr w:type="spellStart"/>
      <w:r w:rsidRPr="007B1517">
        <w:t>json</w:t>
      </w:r>
      <w:proofErr w:type="spellEnd"/>
      <w:r w:rsidRPr="007B1517">
        <w:t>, for example: 2026-04-07_14-30-00_high-speed-rail-metro.json.</w:t>
      </w:r>
    </w:p>
    <w:p w14:paraId="792C918F" w14:textId="77777777" w:rsidR="007B1517" w:rsidRPr="007B1517" w:rsidRDefault="007B1517" w:rsidP="007B1517">
      <w:r w:rsidRPr="007B1517">
        <w:t>A manual </w:t>
      </w:r>
      <w:r w:rsidRPr="007B1517">
        <w:rPr>
          <w:b/>
          <w:bCs/>
        </w:rPr>
        <w:t>Save</w:t>
      </w:r>
      <w:r w:rsidRPr="007B1517">
        <w:t> action downloads all current results as a single {timestamp}_all-</w:t>
      </w:r>
      <w:proofErr w:type="spellStart"/>
      <w:r w:rsidRPr="007B1517">
        <w:t>results.json</w:t>
      </w:r>
      <w:proofErr w:type="spellEnd"/>
      <w:r w:rsidRPr="007B1517">
        <w:t xml:space="preserve"> file and simultaneously saves the session to browser </w:t>
      </w:r>
      <w:proofErr w:type="spellStart"/>
      <w:r w:rsidRPr="007B1517">
        <w:t>localStorage</w:t>
      </w:r>
      <w:proofErr w:type="spellEnd"/>
      <w:r w:rsidRPr="007B1517">
        <w:t xml:space="preserve"> (retaining the 10 most recent saves). Saved sessions can be reloaded via the Load button.</w:t>
      </w:r>
    </w:p>
    <w:p w14:paraId="3DD903D9" w14:textId="77777777" w:rsidR="007B1517" w:rsidRPr="007B1517" w:rsidRDefault="007B1517" w:rsidP="007B1517">
      <w:r w:rsidRPr="007B1517">
        <w:t>A </w:t>
      </w:r>
      <w:r w:rsidRPr="007B1517">
        <w:rPr>
          <w:b/>
          <w:bCs/>
        </w:rPr>
        <w:t>CSV export</w:t>
      </w:r>
      <w:r w:rsidRPr="007B1517">
        <w:t> is also available, flattening all opportunity fields across all sectors into a single spreadsheet row per result. The CSV includes 18 columns: Title, Client, Region, Sector, Stage, Urgency, Relevance, Value, Deadline, Type, Source, Overview, Context, Sector Fit, Scale Fit, Geo Fit, Win Probability, and Verdict.</w:t>
      </w:r>
    </w:p>
    <w:p w14:paraId="4975810F" w14:textId="77777777" w:rsidR="007B1517" w:rsidRPr="007B1517" w:rsidRDefault="007B1517" w:rsidP="007B1517">
      <w:r w:rsidRPr="007B1517">
        <w:pict w14:anchorId="3A91AD1D">
          <v:rect id="_x0000_i1114" style="width:0;height:0" o:hralign="center" o:hrstd="t" o:hr="t" fillcolor="#a0a0a0" stroked="f"/>
        </w:pict>
      </w:r>
    </w:p>
    <w:p w14:paraId="3BE50580" w14:textId="77777777" w:rsidR="007B1517" w:rsidRPr="007B1517" w:rsidRDefault="007B1517" w:rsidP="007B1517">
      <w:pPr>
        <w:rPr>
          <w:b/>
          <w:bCs/>
        </w:rPr>
      </w:pPr>
      <w:r w:rsidRPr="007B1517">
        <w:rPr>
          <w:b/>
          <w:bCs/>
        </w:rPr>
        <w:t>12. Technical Architecture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4"/>
        <w:gridCol w:w="4774"/>
      </w:tblGrid>
      <w:tr w:rsidR="007B1517" w:rsidRPr="007B1517" w14:paraId="7691743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C10CC4D" w14:textId="77777777" w:rsidR="007B1517" w:rsidRPr="007B1517" w:rsidRDefault="007B1517" w:rsidP="007B1517">
            <w:pPr>
              <w:rPr>
                <w:b/>
                <w:bCs/>
              </w:rPr>
            </w:pPr>
            <w:r w:rsidRPr="007B1517">
              <w:rPr>
                <w:b/>
                <w:bCs/>
              </w:rPr>
              <w:t>Component</w:t>
            </w:r>
          </w:p>
        </w:tc>
        <w:tc>
          <w:tcPr>
            <w:tcW w:w="0" w:type="auto"/>
            <w:tcBorders>
              <w:top w:val="single" w:sz="2" w:space="0" w:color="auto"/>
              <w:left w:val="single" w:sz="2" w:space="0" w:color="auto"/>
              <w:bottom w:val="single" w:sz="2" w:space="0" w:color="auto"/>
              <w:right w:val="single" w:sz="2" w:space="0" w:color="auto"/>
            </w:tcBorders>
            <w:shd w:val="clear" w:color="auto" w:fill="1F1E1D"/>
            <w:vAlign w:val="center"/>
            <w:hideMark/>
          </w:tcPr>
          <w:p w14:paraId="0B7A86C9" w14:textId="77777777" w:rsidR="007B1517" w:rsidRPr="007B1517" w:rsidRDefault="007B1517" w:rsidP="007B1517">
            <w:pPr>
              <w:rPr>
                <w:b/>
                <w:bCs/>
              </w:rPr>
            </w:pPr>
            <w:r w:rsidRPr="007B1517">
              <w:rPr>
                <w:b/>
                <w:bCs/>
              </w:rPr>
              <w:t>Technology</w:t>
            </w:r>
          </w:p>
        </w:tc>
      </w:tr>
      <w:tr w:rsidR="007B1517" w:rsidRPr="007B1517" w14:paraId="133754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23EF05" w14:textId="77777777" w:rsidR="007B1517" w:rsidRPr="007B1517" w:rsidRDefault="007B1517" w:rsidP="007B1517">
            <w:r w:rsidRPr="007B1517">
              <w:t>Frontend framework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0E955DAC" w14:textId="77777777" w:rsidR="007B1517" w:rsidRPr="007B1517" w:rsidRDefault="007B1517" w:rsidP="007B1517">
            <w:r w:rsidRPr="007B1517">
              <w:t>React 18 (UMD build, no build step)</w:t>
            </w:r>
          </w:p>
        </w:tc>
      </w:tr>
      <w:tr w:rsidR="007B1517" w:rsidRPr="007B1517" w14:paraId="22615A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B42AA6" w14:textId="77777777" w:rsidR="007B1517" w:rsidRPr="007B1517" w:rsidRDefault="007B1517" w:rsidP="007B1517">
            <w:r w:rsidRPr="007B1517">
              <w:t>Icons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36D4F254" w14:textId="77777777" w:rsidR="007B1517" w:rsidRPr="007B1517" w:rsidRDefault="007B1517" w:rsidP="007B1517">
            <w:proofErr w:type="spellStart"/>
            <w:r w:rsidRPr="007B1517">
              <w:t>Lucide</w:t>
            </w:r>
            <w:proofErr w:type="spellEnd"/>
            <w:r w:rsidRPr="007B1517">
              <w:t xml:space="preserve"> React + Phosphor Icons (web font)</w:t>
            </w:r>
          </w:p>
        </w:tc>
      </w:tr>
      <w:tr w:rsidR="007B1517" w:rsidRPr="007B1517" w14:paraId="407AD6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C8A740" w14:textId="77777777" w:rsidR="007B1517" w:rsidRPr="007B1517" w:rsidRDefault="007B1517" w:rsidP="007B1517">
            <w:r w:rsidRPr="007B1517">
              <w:t>Map</w:t>
            </w:r>
          </w:p>
        </w:tc>
        <w:tc>
          <w:tcPr>
            <w:tcW w:w="0" w:type="auto"/>
            <w:tcBorders>
              <w:top w:val="single" w:sz="2" w:space="0" w:color="auto"/>
              <w:left w:val="single" w:sz="2" w:space="0" w:color="auto"/>
              <w:bottom w:val="single" w:sz="2" w:space="0" w:color="auto"/>
              <w:right w:val="single" w:sz="2" w:space="0" w:color="auto"/>
            </w:tcBorders>
            <w:vAlign w:val="center"/>
            <w:hideMark/>
          </w:tcPr>
          <w:p w14:paraId="2BC505C3" w14:textId="77777777" w:rsidR="007B1517" w:rsidRPr="007B1517" w:rsidRDefault="007B1517" w:rsidP="007B1517">
            <w:r w:rsidRPr="007B1517">
              <w:t xml:space="preserve">Leaflet.js with </w:t>
            </w:r>
            <w:proofErr w:type="spellStart"/>
            <w:r w:rsidRPr="007B1517">
              <w:t>CartoDB</w:t>
            </w:r>
            <w:proofErr w:type="spellEnd"/>
            <w:r w:rsidRPr="007B1517">
              <w:t xml:space="preserve"> dark tile layer</w:t>
            </w:r>
          </w:p>
        </w:tc>
      </w:tr>
      <w:tr w:rsidR="007B1517" w:rsidRPr="007B1517" w14:paraId="29B2CA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865284" w14:textId="77777777" w:rsidR="007B1517" w:rsidRPr="007B1517" w:rsidRDefault="007B1517" w:rsidP="007B1517">
            <w:r w:rsidRPr="007B1517">
              <w:t>AI model</w:t>
            </w:r>
          </w:p>
        </w:tc>
        <w:tc>
          <w:tcPr>
            <w:tcW w:w="0" w:type="auto"/>
            <w:tcBorders>
              <w:top w:val="single" w:sz="2" w:space="0" w:color="auto"/>
              <w:left w:val="single" w:sz="2" w:space="0" w:color="auto"/>
              <w:bottom w:val="single" w:sz="2" w:space="0" w:color="auto"/>
              <w:right w:val="single" w:sz="2" w:space="0" w:color="auto"/>
            </w:tcBorders>
            <w:vAlign w:val="center"/>
            <w:hideMark/>
          </w:tcPr>
          <w:p w14:paraId="131863A1" w14:textId="77777777" w:rsidR="007B1517" w:rsidRPr="007B1517" w:rsidRDefault="007B1517" w:rsidP="007B1517">
            <w:r w:rsidRPr="007B1517">
              <w:t>Gemini 2.5 Flash</w:t>
            </w:r>
          </w:p>
        </w:tc>
      </w:tr>
      <w:tr w:rsidR="007B1517" w:rsidRPr="007B1517" w14:paraId="1F07493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0FF82E" w14:textId="77777777" w:rsidR="007B1517" w:rsidRPr="007B1517" w:rsidRDefault="007B1517" w:rsidP="007B1517">
            <w:r w:rsidRPr="007B1517">
              <w:t>Search grounding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EB0C877" w14:textId="77777777" w:rsidR="007B1517" w:rsidRPr="007B1517" w:rsidRDefault="007B1517" w:rsidP="007B1517">
            <w:r w:rsidRPr="007B1517">
              <w:t>Google Search (via Gemini tools API)</w:t>
            </w:r>
          </w:p>
        </w:tc>
      </w:tr>
      <w:tr w:rsidR="007B1517" w:rsidRPr="007B1517" w14:paraId="670809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905722" w14:textId="77777777" w:rsidR="007B1517" w:rsidRPr="007B1517" w:rsidRDefault="007B1517" w:rsidP="007B1517">
            <w:r w:rsidRPr="007B1517">
              <w:t>API authentication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D6BAE3C" w14:textId="77777777" w:rsidR="007B1517" w:rsidRPr="007B1517" w:rsidRDefault="007B1517" w:rsidP="007B1517">
            <w:r w:rsidRPr="007B1517">
              <w:t>API key embedded in client-side JS</w:t>
            </w:r>
          </w:p>
        </w:tc>
      </w:tr>
      <w:tr w:rsidR="007B1517" w:rsidRPr="007B1517" w14:paraId="4CA44C6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5EFF21" w14:textId="77777777" w:rsidR="007B1517" w:rsidRPr="007B1517" w:rsidRDefault="007B1517" w:rsidP="007B1517">
            <w:r w:rsidRPr="007B1517">
              <w:t>Persistence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696E6EFA" w14:textId="77777777" w:rsidR="007B1517" w:rsidRPr="007B1517" w:rsidRDefault="007B1517" w:rsidP="007B1517">
            <w:r w:rsidRPr="007B1517">
              <w:t xml:space="preserve">Browser </w:t>
            </w:r>
            <w:proofErr w:type="spellStart"/>
            <w:r w:rsidRPr="007B1517">
              <w:t>localStorage</w:t>
            </w:r>
            <w:proofErr w:type="spellEnd"/>
            <w:r w:rsidRPr="007B1517">
              <w:t xml:space="preserve"> (session saves)</w:t>
            </w:r>
          </w:p>
        </w:tc>
      </w:tr>
      <w:tr w:rsidR="007B1517" w:rsidRPr="007B1517" w14:paraId="53D5C4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14E91B" w14:textId="77777777" w:rsidR="007B1517" w:rsidRPr="007B1517" w:rsidRDefault="007B1517" w:rsidP="007B1517">
            <w:r w:rsidRPr="007B1517">
              <w:t>Export</w:t>
            </w:r>
          </w:p>
        </w:tc>
        <w:tc>
          <w:tcPr>
            <w:tcW w:w="0" w:type="auto"/>
            <w:tcBorders>
              <w:top w:val="single" w:sz="2" w:space="0" w:color="auto"/>
              <w:left w:val="single" w:sz="2" w:space="0" w:color="auto"/>
              <w:bottom w:val="single" w:sz="2" w:space="0" w:color="auto"/>
              <w:right w:val="single" w:sz="2" w:space="0" w:color="auto"/>
            </w:tcBorders>
            <w:vAlign w:val="center"/>
            <w:hideMark/>
          </w:tcPr>
          <w:p w14:paraId="7B3FA625" w14:textId="77777777" w:rsidR="007B1517" w:rsidRPr="007B1517" w:rsidRDefault="007B1517" w:rsidP="007B1517">
            <w:r w:rsidRPr="007B1517">
              <w:t>Blob URL downloads (JSON and CSV)</w:t>
            </w:r>
          </w:p>
        </w:tc>
      </w:tr>
      <w:tr w:rsidR="007B1517" w:rsidRPr="007B1517" w14:paraId="769874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E0C528" w14:textId="77777777" w:rsidR="007B1517" w:rsidRPr="007B1517" w:rsidRDefault="007B1517" w:rsidP="007B1517">
            <w:r w:rsidRPr="007B1517">
              <w:t>Styling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BF87B21" w14:textId="77777777" w:rsidR="007B1517" w:rsidRPr="007B1517" w:rsidRDefault="007B1517" w:rsidP="007B1517">
            <w:r w:rsidRPr="007B1517">
              <w:t>Inline CSS with CSS custom properties</w:t>
            </w:r>
          </w:p>
        </w:tc>
      </w:tr>
      <w:tr w:rsidR="007B1517" w:rsidRPr="007B1517" w14:paraId="5ED4B0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BB738D" w14:textId="77777777" w:rsidR="007B1517" w:rsidRPr="007B1517" w:rsidRDefault="007B1517" w:rsidP="007B1517">
            <w:r w:rsidRPr="007B1517">
              <w:t>Deployment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F4CC2AA" w14:textId="77777777" w:rsidR="007B1517" w:rsidRPr="007B1517" w:rsidRDefault="007B1517" w:rsidP="007B1517">
            <w:r w:rsidRPr="007B1517">
              <w:t>Single self-contained HTML file, no server required</w:t>
            </w:r>
          </w:p>
        </w:tc>
      </w:tr>
    </w:tbl>
    <w:p w14:paraId="20820A90" w14:textId="77777777" w:rsidR="007B1517" w:rsidRPr="007B1517" w:rsidRDefault="007B1517" w:rsidP="007B1517">
      <w:r w:rsidRPr="007B1517">
        <w:t>The application requires no server infrastructure. The HTML file can be opened directly in a browser. All API calls are made client-side via fetch() to the Gemini API endpoint. The only external runtime dependencies are the CDN-hosted React, Leaflet and icon libraries.</w:t>
      </w:r>
    </w:p>
    <w:p w14:paraId="37DC0789" w14:textId="77777777" w:rsidR="007B1517" w:rsidRPr="007B1517" w:rsidRDefault="007B1517" w:rsidP="007B1517">
      <w:r w:rsidRPr="007B1517">
        <w:pict w14:anchorId="01AB0C6D">
          <v:rect id="_x0000_i1115" style="width:0;height:0" o:hralign="center" o:hrstd="t" o:hr="t" fillcolor="#a0a0a0" stroked="f"/>
        </w:pict>
      </w:r>
    </w:p>
    <w:p w14:paraId="0F19E8B7" w14:textId="77777777" w:rsidR="007B1517" w:rsidRPr="007B1517" w:rsidRDefault="007B1517" w:rsidP="007B1517">
      <w:pPr>
        <w:rPr>
          <w:b/>
          <w:bCs/>
        </w:rPr>
      </w:pPr>
      <w:r w:rsidRPr="007B1517">
        <w:rPr>
          <w:b/>
          <w:bCs/>
        </w:rPr>
        <w:t>13. Design Limitations and Caveats</w:t>
      </w:r>
    </w:p>
    <w:p w14:paraId="70017511" w14:textId="77777777" w:rsidR="007B1517" w:rsidRPr="007B1517" w:rsidRDefault="007B1517" w:rsidP="007B1517">
      <w:r w:rsidRPr="007B1517">
        <w:rPr>
          <w:b/>
          <w:bCs/>
        </w:rPr>
        <w:t>AI hallucination risk.</w:t>
      </w:r>
      <w:r w:rsidRPr="007B1517">
        <w:t> The AI may generate plausible-sounding but fictitious project names, client names or procurement sources. Results should always be independently verified before any business development action is taken.</w:t>
      </w:r>
    </w:p>
    <w:p w14:paraId="02F4FD0C" w14:textId="77777777" w:rsidR="007B1517" w:rsidRPr="007B1517" w:rsidRDefault="007B1517" w:rsidP="007B1517">
      <w:r w:rsidRPr="007B1517">
        <w:rPr>
          <w:b/>
          <w:bCs/>
          <w:lang w:val="fr-FR"/>
        </w:rPr>
        <w:t>Source prompt vs. source access.</w:t>
      </w:r>
      <w:r w:rsidRPr="007B1517">
        <w:rPr>
          <w:lang w:val="fr-FR"/>
        </w:rPr>
        <w:t> </w:t>
      </w:r>
      <w:r w:rsidRPr="007B1517">
        <w:t>The tool instructs the AI to search specific procurement portals, but it does not have API access to any of them. The AI surfaces results that are publicly indexed and retrievable via Google Search. Portals behind authentication walls, portals with thin Google footprints, or very recently published notices may not appear.</w:t>
      </w:r>
    </w:p>
    <w:p w14:paraId="0B9C702E" w14:textId="77777777" w:rsidR="007B1517" w:rsidRPr="007B1517" w:rsidRDefault="007B1517" w:rsidP="007B1517">
      <w:r w:rsidRPr="007B1517">
        <w:rPr>
          <w:b/>
          <w:bCs/>
        </w:rPr>
        <w:lastRenderedPageBreak/>
        <w:t>Source cap.</w:t>
      </w:r>
      <w:r w:rsidRPr="007B1517">
        <w:t> Only the first 60 enabled sources are injected into the prompt. For a full scan, approximately 590 sources are excluded from the explicit instruction set (though the AI may still surface results from them via general web search).</w:t>
      </w:r>
    </w:p>
    <w:p w14:paraId="0B885EBF" w14:textId="77777777" w:rsidR="007B1517" w:rsidRPr="007B1517" w:rsidRDefault="007B1517" w:rsidP="007B1517">
      <w:r w:rsidRPr="007B1517">
        <w:rPr>
          <w:b/>
          <w:bCs/>
        </w:rPr>
        <w:t>Relevance score subjectivity.</w:t>
      </w:r>
      <w:r w:rsidRPr="007B1517">
        <w:t> The relevance, sector fit, scale fit, geography fit and win probability scores are AI-generated estimates with no access to GIA's actual internal capability data, CRM history, or pipeline. They represent a contextually-informed best guess, not a calibrated model.</w:t>
      </w:r>
    </w:p>
    <w:p w14:paraId="09A77B2E" w14:textId="77777777" w:rsidR="007B1517" w:rsidRPr="007B1517" w:rsidRDefault="007B1517" w:rsidP="007B1517">
      <w:r w:rsidRPr="007B1517">
        <w:rPr>
          <w:b/>
          <w:bCs/>
        </w:rPr>
        <w:t>Deadline accuracy.</w:t>
      </w:r>
      <w:r w:rsidRPr="007B1517">
        <w:t> Where no formal deadline is published, the deadline field reflects the AI's estimate based on inferred programme timelines. These can be significantly inaccurate.</w:t>
      </w:r>
    </w:p>
    <w:p w14:paraId="792D47F6" w14:textId="77777777" w:rsidR="007B1517" w:rsidRPr="007B1517" w:rsidRDefault="007B1517" w:rsidP="007B1517">
      <w:r w:rsidRPr="007B1517">
        <w:rPr>
          <w:b/>
          <w:bCs/>
        </w:rPr>
        <w:t>Value accuracy.</w:t>
      </w:r>
      <w:r w:rsidRPr="007B1517">
        <w:t> Project values are sourced from publicly available announcements. They may reflect original business case estimates, politically announced figures, or media reports rather than contract award values. Independent verification is recommended.</w:t>
      </w:r>
    </w:p>
    <w:p w14:paraId="592EA0C4" w14:textId="77777777" w:rsidR="007B1517" w:rsidRPr="007B1517" w:rsidRDefault="007B1517" w:rsidP="007B1517">
      <w:r w:rsidRPr="007B1517">
        <w:rPr>
          <w:b/>
          <w:bCs/>
        </w:rPr>
        <w:t>API key exposure.</w:t>
      </w:r>
      <w:r w:rsidRPr="007B1517">
        <w:t> The Gemini API key is embedded in the client-side JavaScript and is visible to anyone who views the page source. This is appropriate for an internal tool but would be a security concern in any public deployment.</w:t>
      </w:r>
    </w:p>
    <w:p w14:paraId="253A0A25" w14:textId="77777777" w:rsidR="001F4B9B" w:rsidRPr="007B1517" w:rsidRDefault="001F4B9B" w:rsidP="007B1517"/>
    <w:sectPr w:rsidR="001F4B9B" w:rsidRPr="007B1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2606"/>
    <w:multiLevelType w:val="multilevel"/>
    <w:tmpl w:val="EC3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44F1D"/>
    <w:multiLevelType w:val="multilevel"/>
    <w:tmpl w:val="7DA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DD54E9"/>
    <w:multiLevelType w:val="multilevel"/>
    <w:tmpl w:val="7D0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7D14DD"/>
    <w:multiLevelType w:val="multilevel"/>
    <w:tmpl w:val="0CA80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D1EA4"/>
    <w:multiLevelType w:val="multilevel"/>
    <w:tmpl w:val="682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3F47D1"/>
    <w:multiLevelType w:val="multilevel"/>
    <w:tmpl w:val="E3B6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B441EC"/>
    <w:multiLevelType w:val="multilevel"/>
    <w:tmpl w:val="7F4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F53FCE"/>
    <w:multiLevelType w:val="multilevel"/>
    <w:tmpl w:val="1A187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627667">
    <w:abstractNumId w:val="5"/>
  </w:num>
  <w:num w:numId="2" w16cid:durableId="1183979838">
    <w:abstractNumId w:val="7"/>
  </w:num>
  <w:num w:numId="3" w16cid:durableId="84423876">
    <w:abstractNumId w:val="3"/>
  </w:num>
  <w:num w:numId="4" w16cid:durableId="2125803448">
    <w:abstractNumId w:val="0"/>
  </w:num>
  <w:num w:numId="5" w16cid:durableId="1794667127">
    <w:abstractNumId w:val="4"/>
  </w:num>
  <w:num w:numId="6" w16cid:durableId="570234861">
    <w:abstractNumId w:val="1"/>
  </w:num>
  <w:num w:numId="7" w16cid:durableId="401223321">
    <w:abstractNumId w:val="2"/>
  </w:num>
  <w:num w:numId="8" w16cid:durableId="1769619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17"/>
    <w:rsid w:val="00006ABB"/>
    <w:rsid w:val="001F4B9B"/>
    <w:rsid w:val="007B15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B90F"/>
  <w15:chartTrackingRefBased/>
  <w15:docId w15:val="{FFD7616A-FE1F-42CA-B167-9542B545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17"/>
    <w:rPr>
      <w:rFonts w:eastAsiaTheme="majorEastAsia" w:cstheme="majorBidi"/>
      <w:color w:val="272727" w:themeColor="text1" w:themeTint="D8"/>
    </w:rPr>
  </w:style>
  <w:style w:type="paragraph" w:styleId="Title">
    <w:name w:val="Title"/>
    <w:basedOn w:val="Normal"/>
    <w:next w:val="Normal"/>
    <w:link w:val="TitleChar"/>
    <w:uiPriority w:val="10"/>
    <w:qFormat/>
    <w:rsid w:val="007B1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517"/>
    <w:pPr>
      <w:spacing w:before="160"/>
      <w:jc w:val="center"/>
    </w:pPr>
    <w:rPr>
      <w:i/>
      <w:iCs/>
      <w:color w:val="404040" w:themeColor="text1" w:themeTint="BF"/>
    </w:rPr>
  </w:style>
  <w:style w:type="character" w:customStyle="1" w:styleId="QuoteChar">
    <w:name w:val="Quote Char"/>
    <w:basedOn w:val="DefaultParagraphFont"/>
    <w:link w:val="Quote"/>
    <w:uiPriority w:val="29"/>
    <w:rsid w:val="007B1517"/>
    <w:rPr>
      <w:i/>
      <w:iCs/>
      <w:color w:val="404040" w:themeColor="text1" w:themeTint="BF"/>
    </w:rPr>
  </w:style>
  <w:style w:type="paragraph" w:styleId="ListParagraph">
    <w:name w:val="List Paragraph"/>
    <w:basedOn w:val="Normal"/>
    <w:uiPriority w:val="34"/>
    <w:qFormat/>
    <w:rsid w:val="007B1517"/>
    <w:pPr>
      <w:ind w:left="720"/>
      <w:contextualSpacing/>
    </w:pPr>
  </w:style>
  <w:style w:type="character" w:styleId="IntenseEmphasis">
    <w:name w:val="Intense Emphasis"/>
    <w:basedOn w:val="DefaultParagraphFont"/>
    <w:uiPriority w:val="21"/>
    <w:qFormat/>
    <w:rsid w:val="007B1517"/>
    <w:rPr>
      <w:i/>
      <w:iCs/>
      <w:color w:val="0F4761" w:themeColor="accent1" w:themeShade="BF"/>
    </w:rPr>
  </w:style>
  <w:style w:type="paragraph" w:styleId="IntenseQuote">
    <w:name w:val="Intense Quote"/>
    <w:basedOn w:val="Normal"/>
    <w:next w:val="Normal"/>
    <w:link w:val="IntenseQuoteChar"/>
    <w:uiPriority w:val="30"/>
    <w:qFormat/>
    <w:rsid w:val="007B1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517"/>
    <w:rPr>
      <w:i/>
      <w:iCs/>
      <w:color w:val="0F4761" w:themeColor="accent1" w:themeShade="BF"/>
    </w:rPr>
  </w:style>
  <w:style w:type="character" w:styleId="IntenseReference">
    <w:name w:val="Intense Reference"/>
    <w:basedOn w:val="DefaultParagraphFont"/>
    <w:uiPriority w:val="32"/>
    <w:qFormat/>
    <w:rsid w:val="007B1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3226</Words>
  <Characters>18390</Characters>
  <Application>Microsoft Office Word</Application>
  <DocSecurity>0</DocSecurity>
  <Lines>153</Lines>
  <Paragraphs>43</Paragraphs>
  <ScaleCrop>false</ScaleCrop>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Bakshi</dc:creator>
  <cp:keywords/>
  <dc:description/>
  <cp:lastModifiedBy>Arpan Bakshi</cp:lastModifiedBy>
  <cp:revision>1</cp:revision>
  <dcterms:created xsi:type="dcterms:W3CDTF">2026-04-07T03:33:00Z</dcterms:created>
  <dcterms:modified xsi:type="dcterms:W3CDTF">2026-04-07T03:34:00Z</dcterms:modified>
</cp:coreProperties>
</file>