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2171" w14:textId="77777777" w:rsidR="005040FE" w:rsidRPr="005040FE" w:rsidRDefault="005040FE" w:rsidP="005040FE">
      <w:pPr>
        <w:pStyle w:val="Heading1"/>
      </w:pPr>
      <w:r w:rsidRPr="005040FE">
        <w:t>Rethinking Early Stopping: Refine, Then Calibrate</w:t>
      </w:r>
    </w:p>
    <w:p w14:paraId="44BBAC79" w14:textId="77777777" w:rsidR="005040FE" w:rsidRDefault="005040FE" w:rsidP="005040FE">
      <w:pPr>
        <w:rPr>
          <w:rFonts w:ascii="Times New Roman" w:hAnsi="Times New Roman" w:cs="Times New Roman"/>
          <w:b/>
          <w:bCs/>
        </w:rPr>
      </w:pPr>
    </w:p>
    <w:p w14:paraId="0FB0D27B" w14:textId="35CE41B6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Authors</w:t>
      </w:r>
      <w:r w:rsidRPr="005040FE">
        <w:rPr>
          <w:rFonts w:ascii="Times New Roman" w:hAnsi="Times New Roman" w:cs="Times New Roman"/>
          <w:sz w:val="22"/>
          <w:szCs w:val="22"/>
        </w:rPr>
        <w:t xml:space="preserve">: Eugène Berta, David Holzmüller, Michael I. Jordan, Francis Bach </w:t>
      </w:r>
      <w:r w:rsidRPr="005040FE">
        <w:rPr>
          <w:rFonts w:ascii="Times New Roman" w:hAnsi="Times New Roman" w:cs="Times New Roman"/>
          <w:b/>
          <w:bCs/>
          <w:sz w:val="22"/>
          <w:szCs w:val="22"/>
        </w:rPr>
        <w:t>Affiliations</w:t>
      </w:r>
      <w:r w:rsidRPr="005040FE">
        <w:rPr>
          <w:rFonts w:ascii="Times New Roman" w:hAnsi="Times New Roman" w:cs="Times New Roman"/>
          <w:sz w:val="22"/>
          <w:szCs w:val="22"/>
        </w:rPr>
        <w:t xml:space="preserve">: INRIA Paris / ENS-PSL / UC Berkeley </w:t>
      </w:r>
      <w:r w:rsidRPr="005040FE">
        <w:rPr>
          <w:rFonts w:ascii="Times New Roman" w:hAnsi="Times New Roman" w:cs="Times New Roman"/>
          <w:b/>
          <w:bCs/>
          <w:sz w:val="22"/>
          <w:szCs w:val="22"/>
        </w:rPr>
        <w:t>Venue/Year</w:t>
      </w:r>
      <w:r w:rsidRPr="005040FE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arXiv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preprint, v2 dated June 25, 2025 (arXiv:2501.19195)</w:t>
      </w:r>
    </w:p>
    <w:p w14:paraId="0D8777C7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i/>
          <w:iCs/>
          <w:sz w:val="22"/>
          <w:szCs w:val="22"/>
        </w:rPr>
        <w:t>Access note: I extracted the full text and all figure captions directly from the uploaded PDF, so this summary covers the complete paper including appendices — not just the abstract.</w:t>
      </w:r>
    </w:p>
    <w:p w14:paraId="210ABE86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pict w14:anchorId="000ACEA9">
          <v:rect id="_x0000_i1031" style="width:0;height:1.5pt" o:hralign="center" o:hrstd="t" o:hr="t" fillcolor="#a0a0a0" stroked="f"/>
        </w:pict>
      </w:r>
    </w:p>
    <w:p w14:paraId="343BDB1E" w14:textId="77777777" w:rsidR="005040FE" w:rsidRPr="005040FE" w:rsidRDefault="005040FE" w:rsidP="005040F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Problem &amp; Motivation</w:t>
      </w:r>
    </w:p>
    <w:p w14:paraId="7751EFD4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 xml:space="preserve">Probabilistic classifiers are typically evaluated with proper losses (e.g., cross-entropy), which decompose additively into a </w:t>
      </w:r>
      <w:r w:rsidRPr="005040FE">
        <w:rPr>
          <w:rFonts w:ascii="Times New Roman" w:hAnsi="Times New Roman" w:cs="Times New Roman"/>
          <w:b/>
          <w:bCs/>
          <w:sz w:val="22"/>
          <w:szCs w:val="22"/>
        </w:rPr>
        <w:t>calibration error</w:t>
      </w:r>
      <w:r w:rsidRPr="005040FE">
        <w:rPr>
          <w:rFonts w:ascii="Times New Roman" w:hAnsi="Times New Roman" w:cs="Times New Roman"/>
          <w:sz w:val="22"/>
          <w:szCs w:val="22"/>
        </w:rPr>
        <w:t xml:space="preserve"> (over/under-confidence) and a </w:t>
      </w:r>
      <w:r w:rsidRPr="005040FE">
        <w:rPr>
          <w:rFonts w:ascii="Times New Roman" w:hAnsi="Times New Roman" w:cs="Times New Roman"/>
          <w:b/>
          <w:bCs/>
          <w:sz w:val="22"/>
          <w:szCs w:val="22"/>
        </w:rPr>
        <w:t>refinement error</w:t>
      </w:r>
      <w:r w:rsidRPr="005040FE">
        <w:rPr>
          <w:rFonts w:ascii="Times New Roman" w:hAnsi="Times New Roman" w:cs="Times New Roman"/>
          <w:sz w:val="22"/>
          <w:szCs w:val="22"/>
        </w:rPr>
        <w:t xml:space="preserve"> (ability to discriminate between classes). The paper's central empirical observation, illustrated in Figure 1 (a ResNet-18 on CIFAR-10), is that these two error terms are </w:t>
      </w:r>
      <w:r w:rsidRPr="005040FE">
        <w:rPr>
          <w:rFonts w:ascii="Times New Roman" w:hAnsi="Times New Roman" w:cs="Times New Roman"/>
          <w:b/>
          <w:bCs/>
          <w:sz w:val="22"/>
          <w:szCs w:val="22"/>
        </w:rPr>
        <w:t>not minimized at the same training epoch</w:t>
      </w:r>
      <w:r w:rsidRPr="005040FE">
        <w:rPr>
          <w:rFonts w:ascii="Times New Roman" w:hAnsi="Times New Roman" w:cs="Times New Roman"/>
          <w:sz w:val="22"/>
          <w:szCs w:val="22"/>
        </w:rPr>
        <w:t xml:space="preserve">. Standard early stopping — picking the epoch with lowest validation loss — therefore lands on a compromise point that is suboptimal for </w:t>
      </w:r>
      <w:r w:rsidRPr="005040FE">
        <w:rPr>
          <w:rFonts w:ascii="Times New Roman" w:hAnsi="Times New Roman" w:cs="Times New Roman"/>
          <w:i/>
          <w:iCs/>
          <w:sz w:val="22"/>
          <w:szCs w:val="22"/>
        </w:rPr>
        <w:t>both</w:t>
      </w:r>
      <w:r w:rsidRPr="005040FE">
        <w:rPr>
          <w:rFonts w:ascii="Times New Roman" w:hAnsi="Times New Roman" w:cs="Times New Roman"/>
          <w:sz w:val="22"/>
          <w:szCs w:val="22"/>
        </w:rPr>
        <w:t xml:space="preserve"> calibration and refinement individually.</w:t>
      </w:r>
    </w:p>
    <w:p w14:paraId="1D6A815E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>Since calibration error can be cheaply and reliably removed after training via post-hoc calibration (e.g., temperature scaling), the authors argue training effort is being "wasted" chasing a moving compromise, when it could instead be spent purely minimizing refinement error — leaving calibration to be cleaned up afterward.</w:t>
      </w:r>
    </w:p>
    <w:p w14:paraId="19F1B59D" w14:textId="77777777" w:rsidR="005040FE" w:rsidRPr="005040FE" w:rsidRDefault="005040FE" w:rsidP="005040F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Core Contributions</w:t>
      </w:r>
    </w:p>
    <w:p w14:paraId="68D0FFEE" w14:textId="77777777" w:rsidR="005040FE" w:rsidRPr="005040FE" w:rsidRDefault="005040FE" w:rsidP="005040F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 xml:space="preserve">A novel </w:t>
      </w:r>
      <w:r w:rsidRPr="005040FE">
        <w:rPr>
          <w:rFonts w:ascii="Times New Roman" w:hAnsi="Times New Roman" w:cs="Times New Roman"/>
          <w:b/>
          <w:bCs/>
          <w:sz w:val="22"/>
          <w:szCs w:val="22"/>
        </w:rPr>
        <w:t>variational formulation</w:t>
      </w:r>
      <w:r w:rsidRPr="005040FE">
        <w:rPr>
          <w:rFonts w:ascii="Times New Roman" w:hAnsi="Times New Roman" w:cs="Times New Roman"/>
          <w:sz w:val="22"/>
          <w:szCs w:val="22"/>
        </w:rPr>
        <w:t xml:space="preserve"> of the calibration-refinement decomposition (Theorem 3.4), showing refinement error equals the minimum achievable risk after optimal post-hoc relabeling, and calibration error equals the risk reduction available from that relabeling.</w:t>
      </w:r>
    </w:p>
    <w:p w14:paraId="34F73AA2" w14:textId="77777777" w:rsidR="005040FE" w:rsidRPr="005040FE" w:rsidRDefault="005040FE" w:rsidP="005040F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 xml:space="preserve">A practical </w:t>
      </w:r>
      <w:r w:rsidRPr="005040FE">
        <w:rPr>
          <w:rFonts w:ascii="Times New Roman" w:hAnsi="Times New Roman" w:cs="Times New Roman"/>
          <w:b/>
          <w:bCs/>
          <w:sz w:val="22"/>
          <w:szCs w:val="22"/>
        </w:rPr>
        <w:t>refinement error estimator</w:t>
      </w:r>
      <w:r w:rsidRPr="005040FE">
        <w:rPr>
          <w:rFonts w:ascii="Times New Roman" w:hAnsi="Times New Roman" w:cs="Times New Roman"/>
          <w:sz w:val="22"/>
          <w:szCs w:val="22"/>
        </w:rPr>
        <w:t xml:space="preserve"> ("TS-refinement") based on fitting temperature scaling after every training epoch, applicable to both binary and multiclass settings — addressing a known gap in multiclass calibration-error estimation.</w:t>
      </w:r>
    </w:p>
    <w:p w14:paraId="0B912548" w14:textId="77777777" w:rsidR="005040FE" w:rsidRPr="005040FE" w:rsidRDefault="005040FE" w:rsidP="005040F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 xml:space="preserve">An improved, faster </w:t>
      </w:r>
      <w:r w:rsidRPr="005040FE">
        <w:rPr>
          <w:rFonts w:ascii="Times New Roman" w:hAnsi="Times New Roman" w:cs="Times New Roman"/>
          <w:b/>
          <w:bCs/>
          <w:sz w:val="22"/>
          <w:szCs w:val="22"/>
        </w:rPr>
        <w:t>temperature scaling implementation</w:t>
      </w:r>
      <w:r w:rsidRPr="005040FE">
        <w:rPr>
          <w:rFonts w:ascii="Times New Roman" w:hAnsi="Times New Roman" w:cs="Times New Roman"/>
          <w:sz w:val="22"/>
          <w:szCs w:val="22"/>
        </w:rPr>
        <w:t xml:space="preserve"> using bisection (exploiting convexity of the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logloss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objective) rather than L-BFGS.</w:t>
      </w:r>
    </w:p>
    <w:p w14:paraId="5A4FF91F" w14:textId="77777777" w:rsidR="005040FE" w:rsidRPr="005040FE" w:rsidRDefault="005040FE" w:rsidP="005040F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>Empirical demonstration across vision and tabular benchmarks that early stopping on TS-refinement yields lower test loss than stopping on validation loss.</w:t>
      </w:r>
    </w:p>
    <w:p w14:paraId="4914FC6B" w14:textId="77777777" w:rsidR="005040FE" w:rsidRPr="005040FE" w:rsidRDefault="005040FE" w:rsidP="005040F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 xml:space="preserve">A </w:t>
      </w:r>
      <w:r w:rsidRPr="005040FE">
        <w:rPr>
          <w:rFonts w:ascii="Times New Roman" w:hAnsi="Times New Roman" w:cs="Times New Roman"/>
          <w:b/>
          <w:bCs/>
          <w:sz w:val="22"/>
          <w:szCs w:val="22"/>
        </w:rPr>
        <w:t>theoretical analysis</w:t>
      </w:r>
      <w:r w:rsidRPr="005040FE">
        <w:rPr>
          <w:rFonts w:ascii="Times New Roman" w:hAnsi="Times New Roman" w:cs="Times New Roman"/>
          <w:sz w:val="22"/>
          <w:szCs w:val="22"/>
        </w:rPr>
        <w:t xml:space="preserve"> in a high-dimensional Gaussian/regularized logistic regression setting proving calibration and refinement minimizers are generally distinct, and characterizing when the gap between them is large.</w:t>
      </w:r>
    </w:p>
    <w:p w14:paraId="45246CC3" w14:textId="77777777" w:rsidR="005040FE" w:rsidRPr="005040FE" w:rsidRDefault="005040FE" w:rsidP="005040F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Method / Approach</w:t>
      </w:r>
    </w:p>
    <w:p w14:paraId="216D5127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>The paper first builds theoretical machinery, then validates empirically, then formalizes theoretically in a tractable model — so I'll follow that structure.</w:t>
      </w:r>
    </w:p>
    <w:p w14:paraId="79CF169D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Theory (Section 3, Theorem 3.4).</w:t>
      </w:r>
      <w:r w:rsidRPr="005040FE">
        <w:rPr>
          <w:rFonts w:ascii="Times New Roman" w:hAnsi="Times New Roman" w:cs="Times New Roman"/>
          <w:sz w:val="22"/>
          <w:szCs w:val="22"/>
        </w:rPr>
        <w:t xml:space="preserve"> For a proper loss ℓ and classifier f, the paper shows:</w:t>
      </w:r>
    </w:p>
    <w:p w14:paraId="18A36FE3" w14:textId="77777777" w:rsidR="005040FE" w:rsidRPr="005040FE" w:rsidRDefault="005040FE" w:rsidP="005040F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>Refinement error Rℓ(f) = minimum risk over all measurable post-processing functions g applied to f(X)</w:t>
      </w:r>
    </w:p>
    <w:p w14:paraId="51080BD7" w14:textId="77777777" w:rsidR="005040FE" w:rsidRPr="005040FE" w:rsidRDefault="005040FE" w:rsidP="005040F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lastRenderedPageBreak/>
        <w:t>Calibration error Kℓ(f) = Risk(f) − that minimum</w:t>
      </w:r>
    </w:p>
    <w:p w14:paraId="3CBB0FAC" w14:textId="77777777" w:rsidR="005040FE" w:rsidRPr="005040FE" w:rsidRDefault="005040FE" w:rsidP="005040F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 xml:space="preserve">The optimal g* is the conditional expectation g*(q) = </w:t>
      </w:r>
      <w:proofErr w:type="gramStart"/>
      <w:r w:rsidRPr="005040FE">
        <w:rPr>
          <w:rFonts w:ascii="Times New Roman" w:hAnsi="Times New Roman" w:cs="Times New Roman"/>
          <w:sz w:val="22"/>
          <w:szCs w:val="22"/>
        </w:rPr>
        <w:t>E[</w:t>
      </w:r>
      <w:proofErr w:type="gramEnd"/>
      <w:r w:rsidRPr="005040FE">
        <w:rPr>
          <w:rFonts w:ascii="Times New Roman" w:hAnsi="Times New Roman" w:cs="Times New Roman"/>
          <w:sz w:val="22"/>
          <w:szCs w:val="22"/>
        </w:rPr>
        <w:t>Y | f(X) = q]</w:t>
      </w:r>
    </w:p>
    <w:p w14:paraId="6F5507C8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>This reframes calibration error as "the loss reducible by optimal recalibration" rather than only as a divergence-based quantity — letting the same idea extend to non-divergence calibration measures and even non-probabilistic settings.</w:t>
      </w:r>
    </w:p>
    <w:p w14:paraId="2C187CBE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Practical estimator (Section 4).</w:t>
      </w:r>
      <w:r w:rsidRPr="005040FE">
        <w:rPr>
          <w:rFonts w:ascii="Times New Roman" w:hAnsi="Times New Roman" w:cs="Times New Roman"/>
          <w:sz w:val="22"/>
          <w:szCs w:val="22"/>
        </w:rPr>
        <w:t xml:space="preserve"> Since fitting a fully general g would overfit a finite validation set, the authors restrict to a small function class </w:t>
      </w:r>
      <w:r w:rsidRPr="005040FE">
        <w:rPr>
          <w:rFonts w:ascii="Cambria Math" w:hAnsi="Cambria Math" w:cs="Cambria Math"/>
          <w:sz w:val="22"/>
          <w:szCs w:val="22"/>
        </w:rPr>
        <w:t>𝒢</w:t>
      </w:r>
      <w:r w:rsidRPr="005040FE">
        <w:rPr>
          <w:rFonts w:ascii="Times New Roman" w:hAnsi="Times New Roman" w:cs="Times New Roman"/>
          <w:sz w:val="22"/>
          <w:szCs w:val="22"/>
        </w:rPr>
        <w:t xml:space="preserve"> — specifically, single-parameter </w:t>
      </w:r>
      <w:r w:rsidRPr="005040FE">
        <w:rPr>
          <w:rFonts w:ascii="Times New Roman" w:hAnsi="Times New Roman" w:cs="Times New Roman"/>
          <w:b/>
          <w:bCs/>
          <w:sz w:val="22"/>
          <w:szCs w:val="22"/>
        </w:rPr>
        <w:t>temperature scaling</w:t>
      </w:r>
      <w:r w:rsidRPr="005040FE">
        <w:rPr>
          <w:rFonts w:ascii="Times New Roman" w:hAnsi="Times New Roman" w:cs="Times New Roman"/>
          <w:sz w:val="22"/>
          <w:szCs w:val="22"/>
        </w:rPr>
        <w:t>. "TS-refinement" = validation loss after fitting temperature scaling on that same validation set, recomputed after every epoch. They prove (Prop. 6.2, under a Gaussian-mixture logit assumption) that TS exactly zeroes calibration error while leaving refinement unchanged, which is what licenses using post-TS loss as a refinement proxy.</w:t>
      </w:r>
    </w:p>
    <w:p w14:paraId="42764CE1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Theoretical model (Sections 6–7).</w:t>
      </w:r>
      <w:r w:rsidRPr="005040FE">
        <w:rPr>
          <w:rFonts w:ascii="Times New Roman" w:hAnsi="Times New Roman" w:cs="Times New Roman"/>
          <w:sz w:val="22"/>
          <w:szCs w:val="22"/>
        </w:rPr>
        <w:t xml:space="preserve"> A two-class Gaussian data model (X | Y=±1 ~ </w:t>
      </w:r>
      <w:proofErr w:type="gramStart"/>
      <w:r w:rsidRPr="005040FE">
        <w:rPr>
          <w:rFonts w:ascii="Cambria Math" w:hAnsi="Cambria Math" w:cs="Cambria Math"/>
          <w:sz w:val="22"/>
          <w:szCs w:val="22"/>
        </w:rPr>
        <w:t>𝒩</w:t>
      </w:r>
      <w:r w:rsidRPr="005040F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040FE">
        <w:rPr>
          <w:rFonts w:ascii="Times New Roman" w:hAnsi="Times New Roman" w:cs="Times New Roman"/>
          <w:sz w:val="22"/>
          <w:szCs w:val="22"/>
        </w:rPr>
        <w:t>±μ, Σ)) with a linear classifier f(x) = σ(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wᵀx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). They derive closed-form expressions for calibration and refinement error in terms of an "expertise level"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a_w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= </w:t>
      </w:r>
      <w:r w:rsidRPr="005040FE">
        <w:rPr>
          <w:rFonts w:ascii="Cambria Math" w:hAnsi="Cambria Math" w:cs="Cambria Math"/>
          <w:sz w:val="22"/>
          <w:szCs w:val="22"/>
        </w:rPr>
        <w:t>⟨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w,w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*</w:t>
      </w:r>
      <w:r w:rsidRPr="005040FE">
        <w:rPr>
          <w:rFonts w:ascii="Cambria Math" w:hAnsi="Cambria Math" w:cs="Cambria Math"/>
          <w:sz w:val="22"/>
          <w:szCs w:val="22"/>
        </w:rPr>
        <w:t>⟩</w:t>
      </w:r>
      <w:r w:rsidRPr="005040FE">
        <w:rPr>
          <w:rFonts w:ascii="Times New Roman" w:hAnsi="Times New Roman" w:cs="Times New Roman"/>
          <w:sz w:val="22"/>
          <w:szCs w:val="22"/>
        </w:rPr>
        <w:t>_Σ / ‖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w‖_Σ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, and show refinement depends on w only through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a_w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(rescaling-invariant) while calibration depends on the norm ‖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w‖_Σ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as well — so there always exists a rescaling of w that zeros calibration error while preserving refinement (this rescaling is exactly temperature scaling). They then extend this to regularized logistic regression in the high-dimensional asymptotic regime (n, p → ∞,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p/n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→ r), using known results from Mai et al. [2019] characterizing the asymptotic distribution of the fitted weight vector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w_λ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, to show calibration and refinement errors are minimized at </w:t>
      </w:r>
      <w:r w:rsidRPr="005040FE">
        <w:rPr>
          <w:rFonts w:ascii="Times New Roman" w:hAnsi="Times New Roman" w:cs="Times New Roman"/>
          <w:i/>
          <w:iCs/>
          <w:sz w:val="22"/>
          <w:szCs w:val="22"/>
        </w:rPr>
        <w:t>different</w:t>
      </w:r>
      <w:r w:rsidRPr="005040FE">
        <w:rPr>
          <w:rFonts w:ascii="Times New Roman" w:hAnsi="Times New Roman" w:cs="Times New Roman"/>
          <w:sz w:val="22"/>
          <w:szCs w:val="22"/>
        </w:rPr>
        <w:t xml:space="preserve"> regularization strengths λ.</w:t>
      </w:r>
    </w:p>
    <w:p w14:paraId="4F7034FF" w14:textId="77777777" w:rsidR="005040FE" w:rsidRPr="005040FE" w:rsidRDefault="005040FE" w:rsidP="005040F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Key Results</w:t>
      </w:r>
    </w:p>
    <w:p w14:paraId="1EADEBA3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Computer vision (Section 5, Table E.1/E.2 in appendix)</w:t>
      </w:r>
      <w:r w:rsidRPr="005040FE">
        <w:rPr>
          <w:rFonts w:ascii="Times New Roman" w:hAnsi="Times New Roman" w:cs="Times New Roman"/>
          <w:sz w:val="22"/>
          <w:szCs w:val="22"/>
        </w:rPr>
        <w:t xml:space="preserve">: ResNet-18 and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WideResNet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trained on CIFAR-10, CIFAR-100, SVHN, 10 runs each, 300 epochs. Early stopping compared: raw validation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logloss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vs.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logloss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-after-TS vs. accuracy vs. TS-refinement.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1956"/>
        <w:gridCol w:w="2687"/>
      </w:tblGrid>
      <w:tr w:rsidR="005040FE" w:rsidRPr="005040FE" w14:paraId="57D2B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58D41" w14:textId="77777777" w:rsidR="005040FE" w:rsidRPr="005040FE" w:rsidRDefault="005040FE" w:rsidP="005040F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040F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Dataset (ResNet-18)</w:t>
            </w:r>
          </w:p>
        </w:tc>
        <w:tc>
          <w:tcPr>
            <w:tcW w:w="0" w:type="auto"/>
            <w:vAlign w:val="center"/>
            <w:hideMark/>
          </w:tcPr>
          <w:p w14:paraId="4E78C390" w14:textId="77777777" w:rsidR="005040FE" w:rsidRPr="005040FE" w:rsidRDefault="005040FE" w:rsidP="005040F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040F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Stopping on </w:t>
            </w:r>
            <w:proofErr w:type="spellStart"/>
            <w:r w:rsidRPr="005040F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Logloss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35A0F" w14:textId="77777777" w:rsidR="005040FE" w:rsidRPr="005040FE" w:rsidRDefault="005040FE" w:rsidP="005040F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040F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Stopping on TS-Refinement</w:t>
            </w:r>
          </w:p>
        </w:tc>
      </w:tr>
      <w:tr w:rsidR="005040FE" w:rsidRPr="005040FE" w14:paraId="09508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0AFD" w14:textId="77777777" w:rsidR="005040FE" w:rsidRPr="005040FE" w:rsidRDefault="005040FE" w:rsidP="005040F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40FE">
              <w:rPr>
                <w:rFonts w:ascii="Times New Roman" w:hAnsi="Times New Roman" w:cs="Times New Roman"/>
                <w:sz w:val="22"/>
                <w:szCs w:val="22"/>
              </w:rPr>
              <w:t xml:space="preserve">CIFAR-10 (test </w:t>
            </w:r>
            <w:proofErr w:type="spellStart"/>
            <w:r w:rsidRPr="005040FE">
              <w:rPr>
                <w:rFonts w:ascii="Times New Roman" w:hAnsi="Times New Roman" w:cs="Times New Roman"/>
                <w:sz w:val="22"/>
                <w:szCs w:val="22"/>
              </w:rPr>
              <w:t>logloss</w:t>
            </w:r>
            <w:proofErr w:type="spellEnd"/>
            <w:r w:rsidRPr="005040FE">
              <w:rPr>
                <w:rFonts w:ascii="Times New Roman" w:hAnsi="Times New Roman" w:cs="Times New Roman"/>
                <w:sz w:val="22"/>
                <w:szCs w:val="22"/>
              </w:rPr>
              <w:t xml:space="preserve"> after TS)</w:t>
            </w:r>
          </w:p>
        </w:tc>
        <w:tc>
          <w:tcPr>
            <w:tcW w:w="0" w:type="auto"/>
            <w:vAlign w:val="center"/>
            <w:hideMark/>
          </w:tcPr>
          <w:p w14:paraId="014475F0" w14:textId="77777777" w:rsidR="005040FE" w:rsidRPr="005040FE" w:rsidRDefault="005040FE" w:rsidP="005040F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40FE">
              <w:rPr>
                <w:rFonts w:ascii="Times New Roman" w:hAnsi="Times New Roman" w:cs="Times New Roman"/>
                <w:sz w:val="22"/>
                <w:szCs w:val="22"/>
              </w:rPr>
              <w:t>0.161</w:t>
            </w:r>
          </w:p>
        </w:tc>
        <w:tc>
          <w:tcPr>
            <w:tcW w:w="0" w:type="auto"/>
            <w:vAlign w:val="center"/>
            <w:hideMark/>
          </w:tcPr>
          <w:p w14:paraId="3A6D2C7D" w14:textId="77777777" w:rsidR="005040FE" w:rsidRPr="005040FE" w:rsidRDefault="005040FE" w:rsidP="005040F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40FE">
              <w:rPr>
                <w:rFonts w:ascii="Times New Roman" w:hAnsi="Times New Roman" w:cs="Times New Roman"/>
                <w:sz w:val="22"/>
                <w:szCs w:val="22"/>
              </w:rPr>
              <w:t>0.154</w:t>
            </w:r>
          </w:p>
        </w:tc>
      </w:tr>
      <w:tr w:rsidR="005040FE" w:rsidRPr="005040FE" w14:paraId="0D0B0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EF9C" w14:textId="77777777" w:rsidR="005040FE" w:rsidRPr="005040FE" w:rsidRDefault="005040FE" w:rsidP="005040F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40FE">
              <w:rPr>
                <w:rFonts w:ascii="Times New Roman" w:hAnsi="Times New Roman" w:cs="Times New Roman"/>
                <w:sz w:val="22"/>
                <w:szCs w:val="22"/>
              </w:rPr>
              <w:t xml:space="preserve">CIFAR-100 (test </w:t>
            </w:r>
            <w:proofErr w:type="spellStart"/>
            <w:r w:rsidRPr="005040FE">
              <w:rPr>
                <w:rFonts w:ascii="Times New Roman" w:hAnsi="Times New Roman" w:cs="Times New Roman"/>
                <w:sz w:val="22"/>
                <w:szCs w:val="22"/>
              </w:rPr>
              <w:t>logloss</w:t>
            </w:r>
            <w:proofErr w:type="spellEnd"/>
            <w:r w:rsidRPr="005040FE">
              <w:rPr>
                <w:rFonts w:ascii="Times New Roman" w:hAnsi="Times New Roman" w:cs="Times New Roman"/>
                <w:sz w:val="22"/>
                <w:szCs w:val="22"/>
              </w:rPr>
              <w:t xml:space="preserve"> after TS)</w:t>
            </w:r>
          </w:p>
        </w:tc>
        <w:tc>
          <w:tcPr>
            <w:tcW w:w="0" w:type="auto"/>
            <w:vAlign w:val="center"/>
            <w:hideMark/>
          </w:tcPr>
          <w:p w14:paraId="5F89245D" w14:textId="77777777" w:rsidR="005040FE" w:rsidRPr="005040FE" w:rsidRDefault="005040FE" w:rsidP="005040F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40FE">
              <w:rPr>
                <w:rFonts w:ascii="Times New Roman" w:hAnsi="Times New Roman" w:cs="Times New Roman"/>
                <w:sz w:val="22"/>
                <w:szCs w:val="22"/>
              </w:rPr>
              <w:t>1.015</w:t>
            </w:r>
          </w:p>
        </w:tc>
        <w:tc>
          <w:tcPr>
            <w:tcW w:w="0" w:type="auto"/>
            <w:vAlign w:val="center"/>
            <w:hideMark/>
          </w:tcPr>
          <w:p w14:paraId="2B44E4D2" w14:textId="77777777" w:rsidR="005040FE" w:rsidRPr="005040FE" w:rsidRDefault="005040FE" w:rsidP="005040F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40FE">
              <w:rPr>
                <w:rFonts w:ascii="Times New Roman" w:hAnsi="Times New Roman" w:cs="Times New Roman"/>
                <w:sz w:val="22"/>
                <w:szCs w:val="22"/>
              </w:rPr>
              <w:t>0.983</w:t>
            </w:r>
          </w:p>
        </w:tc>
      </w:tr>
      <w:tr w:rsidR="005040FE" w:rsidRPr="005040FE" w14:paraId="67F7B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6500" w14:textId="77777777" w:rsidR="005040FE" w:rsidRPr="005040FE" w:rsidRDefault="005040FE" w:rsidP="005040F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40FE">
              <w:rPr>
                <w:rFonts w:ascii="Times New Roman" w:hAnsi="Times New Roman" w:cs="Times New Roman"/>
                <w:sz w:val="22"/>
                <w:szCs w:val="22"/>
              </w:rPr>
              <w:t xml:space="preserve">SVHN (test </w:t>
            </w:r>
            <w:proofErr w:type="spellStart"/>
            <w:r w:rsidRPr="005040FE">
              <w:rPr>
                <w:rFonts w:ascii="Times New Roman" w:hAnsi="Times New Roman" w:cs="Times New Roman"/>
                <w:sz w:val="22"/>
                <w:szCs w:val="22"/>
              </w:rPr>
              <w:t>logloss</w:t>
            </w:r>
            <w:proofErr w:type="spellEnd"/>
            <w:r w:rsidRPr="005040FE">
              <w:rPr>
                <w:rFonts w:ascii="Times New Roman" w:hAnsi="Times New Roman" w:cs="Times New Roman"/>
                <w:sz w:val="22"/>
                <w:szCs w:val="22"/>
              </w:rPr>
              <w:t xml:space="preserve"> after TS)</w:t>
            </w:r>
          </w:p>
        </w:tc>
        <w:tc>
          <w:tcPr>
            <w:tcW w:w="0" w:type="auto"/>
            <w:vAlign w:val="center"/>
            <w:hideMark/>
          </w:tcPr>
          <w:p w14:paraId="6328A330" w14:textId="77777777" w:rsidR="005040FE" w:rsidRPr="005040FE" w:rsidRDefault="005040FE" w:rsidP="005040F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40FE">
              <w:rPr>
                <w:rFonts w:ascii="Times New Roman" w:hAnsi="Times New Roman" w:cs="Times New Roman"/>
                <w:sz w:val="22"/>
                <w:szCs w:val="22"/>
              </w:rPr>
              <w:t>0.120</w:t>
            </w:r>
          </w:p>
        </w:tc>
        <w:tc>
          <w:tcPr>
            <w:tcW w:w="0" w:type="auto"/>
            <w:vAlign w:val="center"/>
            <w:hideMark/>
          </w:tcPr>
          <w:p w14:paraId="290961C0" w14:textId="77777777" w:rsidR="005040FE" w:rsidRPr="005040FE" w:rsidRDefault="005040FE" w:rsidP="005040F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040FE">
              <w:rPr>
                <w:rFonts w:ascii="Times New Roman" w:hAnsi="Times New Roman" w:cs="Times New Roman"/>
                <w:sz w:val="22"/>
                <w:szCs w:val="22"/>
              </w:rPr>
              <w:t>0.119</w:t>
            </w:r>
          </w:p>
        </w:tc>
      </w:tr>
    </w:tbl>
    <w:p w14:paraId="2586BBB3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>(Figures read from Table E.1; the paper reports these with ±95% CI bands — I'm quoting the point estimates as given in the table, not approximating from a chart.)</w:t>
      </w:r>
    </w:p>
    <w:p w14:paraId="3CDB9426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Tabular data (Section 5, Fig. 6)</w:t>
      </w:r>
      <w:r w:rsidRPr="005040FE">
        <w:rPr>
          <w:rFonts w:ascii="Times New Roman" w:hAnsi="Times New Roman" w:cs="Times New Roman"/>
          <w:sz w:val="22"/>
          <w:szCs w:val="22"/>
        </w:rPr>
        <w:t xml:space="preserve">: 196 datasets from Ye et al. [2024] benchmark (65 with ≥10K samples used for main comparisons), evaluated on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XGBoost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, MLP, and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RealMLP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. General finding: TS-refinement stopping/tuning improves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logloss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on most datasets relative to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logloss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-based stopping, while accuracy-based stopping "often yields poor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logloss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even after TS." Stopping on TS-Refinement frequently yields better accuracy and AUC than stopping on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logloss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, striking an excellent balance between different metrics.</w:t>
      </w:r>
    </w:p>
    <w:p w14:paraId="4ECF52A4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Theoretical example (Fig. 7–8)</w:t>
      </w:r>
      <w:r w:rsidRPr="005040FE">
        <w:rPr>
          <w:rFonts w:ascii="Times New Roman" w:hAnsi="Times New Roman" w:cs="Times New Roman"/>
          <w:sz w:val="22"/>
          <w:szCs w:val="22"/>
        </w:rPr>
        <w:t xml:space="preserve">: In one illustrative parameter setting, refinement-based early stopping is predicted to yield a </w:t>
      </w:r>
      <w:r w:rsidRPr="005040FE">
        <w:rPr>
          <w:rFonts w:ascii="Times New Roman" w:hAnsi="Times New Roman" w:cs="Times New Roman"/>
          <w:b/>
          <w:bCs/>
          <w:sz w:val="22"/>
          <w:szCs w:val="22"/>
        </w:rPr>
        <w:t>2% decrease in downstream cross-entropy</w:t>
      </w:r>
      <w:r w:rsidRPr="005040FE">
        <w:rPr>
          <w:rFonts w:ascii="Times New Roman" w:hAnsi="Times New Roman" w:cs="Times New Roman"/>
          <w:sz w:val="22"/>
          <w:szCs w:val="22"/>
        </w:rPr>
        <w:t xml:space="preserve">; more broadly across a </w:t>
      </w:r>
      <w:r w:rsidRPr="005040FE">
        <w:rPr>
          <w:rFonts w:ascii="Times New Roman" w:hAnsi="Times New Roman" w:cs="Times New Roman"/>
          <w:sz w:val="22"/>
          <w:szCs w:val="22"/>
        </w:rPr>
        <w:lastRenderedPageBreak/>
        <w:t xml:space="preserve">grid of spectral-distribution shapes and problem-difficulty settings, gains reach </w:t>
      </w:r>
      <w:r w:rsidRPr="005040FE">
        <w:rPr>
          <w:rFonts w:ascii="Times New Roman" w:hAnsi="Times New Roman" w:cs="Times New Roman"/>
          <w:b/>
          <w:bCs/>
          <w:sz w:val="22"/>
          <w:szCs w:val="22"/>
        </w:rPr>
        <w:t>up to 25% loss decrease</w:t>
      </w:r>
      <w:r w:rsidRPr="005040FE">
        <w:rPr>
          <w:rFonts w:ascii="Times New Roman" w:hAnsi="Times New Roman" w:cs="Times New Roman"/>
          <w:sz w:val="22"/>
          <w:szCs w:val="22"/>
        </w:rPr>
        <w:t xml:space="preserve"> in regions where the calibration and refinement minimizers are far apart.</w:t>
      </w:r>
    </w:p>
    <w:p w14:paraId="02A23972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TS implementation speed (Fig. 4)</w:t>
      </w:r>
      <w:r w:rsidRPr="005040FE">
        <w:rPr>
          <w:rFonts w:ascii="Times New Roman" w:hAnsi="Times New Roman" w:cs="Times New Roman"/>
          <w:sz w:val="22"/>
          <w:szCs w:val="22"/>
        </w:rPr>
        <w:t xml:space="preserve">: The authors' bisection-based temperature scaling implementation achieves equal-or-lower test loss than implementations from Guo et al. [2017],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TorchUncertainty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TorchCal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AutoGluon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, while being faster (runtime measured in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per 1K validation samples).</w:t>
      </w:r>
    </w:p>
    <w:p w14:paraId="2482720E" w14:textId="77777777" w:rsidR="005040FE" w:rsidRPr="005040FE" w:rsidRDefault="005040FE" w:rsidP="005040F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Method Deep-Dive — Theorem 3.4 and the Gaussian Model</w:t>
      </w:r>
    </w:p>
    <w:p w14:paraId="3B5E39F0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Theorem 3.4 (variational decomposition).</w:t>
      </w:r>
      <w:r w:rsidRPr="005040FE">
        <w:rPr>
          <w:rFonts w:ascii="Times New Roman" w:hAnsi="Times New Roman" w:cs="Times New Roman"/>
          <w:sz w:val="22"/>
          <w:szCs w:val="22"/>
        </w:rPr>
        <w:t xml:space="preserve"> For proper loss ℓ and measurable f: X →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Δ_k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:</w:t>
      </w:r>
    </w:p>
    <w:p w14:paraId="28E1752B" w14:textId="77777777" w:rsidR="005040FE" w:rsidRPr="005040FE" w:rsidRDefault="005040FE" w:rsidP="005040F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 xml:space="preserve">Rℓ(f) =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min_g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Risk(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g</w:t>
      </w:r>
      <w:r w:rsidRPr="005040FE">
        <w:rPr>
          <w:rFonts w:ascii="Cambria Math" w:hAnsi="Cambria Math" w:cs="Cambria Math"/>
          <w:sz w:val="22"/>
          <w:szCs w:val="22"/>
        </w:rPr>
        <w:t>∘</w:t>
      </w:r>
      <w:r w:rsidRPr="005040FE">
        <w:rPr>
          <w:rFonts w:ascii="Times New Roman" w:hAnsi="Times New Roman" w:cs="Times New Roman"/>
          <w:sz w:val="22"/>
          <w:szCs w:val="22"/>
        </w:rPr>
        <w:t>f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), attained at g*(q) = E[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Y|f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(X)=q]</w:t>
      </w:r>
    </w:p>
    <w:p w14:paraId="6C58C950" w14:textId="77777777" w:rsidR="005040FE" w:rsidRPr="005040FE" w:rsidRDefault="005040FE" w:rsidP="005040F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 xml:space="preserve">Kℓ(f) = Risk(f) −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min_g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Risk(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g</w:t>
      </w:r>
      <w:r w:rsidRPr="005040FE">
        <w:rPr>
          <w:rFonts w:ascii="Cambria Math" w:hAnsi="Cambria Math" w:cs="Cambria Math"/>
          <w:sz w:val="22"/>
          <w:szCs w:val="22"/>
        </w:rPr>
        <w:t>∘</w:t>
      </w:r>
      <w:r w:rsidRPr="005040FE">
        <w:rPr>
          <w:rFonts w:ascii="Times New Roman" w:hAnsi="Times New Roman" w:cs="Times New Roman"/>
          <w:sz w:val="22"/>
          <w:szCs w:val="22"/>
        </w:rPr>
        <w:t>f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)</w:t>
      </w:r>
    </w:p>
    <w:p w14:paraId="252FE1F9" w14:textId="77777777" w:rsidR="005040FE" w:rsidRPr="005040FE" w:rsidRDefault="005040FE" w:rsidP="005040F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 xml:space="preserve">Sharpness Sℓ(f) =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min_c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Risk(c) −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min_g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Risk(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g</w:t>
      </w:r>
      <w:r w:rsidRPr="005040FE">
        <w:rPr>
          <w:rFonts w:ascii="Cambria Math" w:hAnsi="Cambria Math" w:cs="Cambria Math"/>
          <w:sz w:val="22"/>
          <w:szCs w:val="22"/>
        </w:rPr>
        <w:t>∘</w:t>
      </w:r>
      <w:r w:rsidRPr="005040FE">
        <w:rPr>
          <w:rFonts w:ascii="Times New Roman" w:hAnsi="Times New Roman" w:cs="Times New Roman"/>
          <w:sz w:val="22"/>
          <w:szCs w:val="22"/>
        </w:rPr>
        <w:t>f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) (c ranges over constant predictors)</w:t>
      </w:r>
    </w:p>
    <w:p w14:paraId="38FCD41D" w14:textId="77777777" w:rsidR="005040FE" w:rsidRPr="005040FE" w:rsidRDefault="005040FE" w:rsidP="005040F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 xml:space="preserve">Uncertainty Uℓ(Y) =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min_c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Risk(c), attained at c*(x) = E[Y]</w:t>
      </w:r>
    </w:p>
    <w:p w14:paraId="56624163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>Proof sketch (Appendix A): relies on a lemma (A.5) that for any g, E[ℓ(g(Z), E[Y|Z])] = E[ℓ(g(Z), Y)] — following from ℓ being affine in its second argument for proper losses — combined with the propriety condition itself (ℓ(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q,q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) ≤ ℓ(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p,q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)) applied pointwise. Uniqueness (up to null sets) follows when ℓ is strictly proper.</w:t>
      </w:r>
    </w:p>
    <w:p w14:paraId="12735F8A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Gaussian model (Section 6, Prop 6.1–6.2).</w:t>
      </w:r>
      <w:r w:rsidRPr="005040FE">
        <w:rPr>
          <w:rFonts w:ascii="Times New Roman" w:hAnsi="Times New Roman" w:cs="Times New Roman"/>
          <w:sz w:val="22"/>
          <w:szCs w:val="22"/>
        </w:rPr>
        <w:t xml:space="preserve"> Under X ~ </w:t>
      </w:r>
      <w:proofErr w:type="gramStart"/>
      <w:r w:rsidRPr="005040FE">
        <w:rPr>
          <w:rFonts w:ascii="Cambria Math" w:hAnsi="Cambria Math" w:cs="Cambria Math"/>
          <w:sz w:val="22"/>
          <w:szCs w:val="22"/>
        </w:rPr>
        <w:t>𝒩</w:t>
      </w:r>
      <w:r w:rsidRPr="005040F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040FE">
        <w:rPr>
          <w:rFonts w:ascii="Times New Roman" w:hAnsi="Times New Roman" w:cs="Times New Roman"/>
          <w:sz w:val="22"/>
          <w:szCs w:val="22"/>
        </w:rPr>
        <w:t>±μ, Σ) with balanced classes, the Bayes-optimal classifier is a sigmoid of a linear score with w* = 2Σ⁻¹μ. For any linear classifier f(x) = σ(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wᵀx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), calibration and refinement errors are shown (via change of variables and symmetry of the sigmoid) to be functions of z ~ </w:t>
      </w:r>
      <w:proofErr w:type="gramStart"/>
      <w:r w:rsidRPr="005040FE">
        <w:rPr>
          <w:rFonts w:ascii="Cambria Math" w:hAnsi="Cambria Math" w:cs="Cambria Math"/>
          <w:sz w:val="22"/>
          <w:szCs w:val="22"/>
        </w:rPr>
        <w:t>𝒩</w:t>
      </w:r>
      <w:r w:rsidRPr="005040F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040FE">
        <w:rPr>
          <w:rFonts w:ascii="Times New Roman" w:hAnsi="Times New Roman" w:cs="Times New Roman"/>
          <w:sz w:val="22"/>
          <w:szCs w:val="22"/>
        </w:rPr>
        <w:t xml:space="preserve">0,1), parametrized by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a_w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and ‖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w‖_Σ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. The key structural fact: refinement depends </w:t>
      </w:r>
      <w:r w:rsidRPr="005040FE">
        <w:rPr>
          <w:rFonts w:ascii="Times New Roman" w:hAnsi="Times New Roman" w:cs="Times New Roman"/>
          <w:b/>
          <w:bCs/>
          <w:sz w:val="22"/>
          <w:szCs w:val="22"/>
        </w:rPr>
        <w:t>only</w:t>
      </w:r>
      <w:r w:rsidRPr="005040FE">
        <w:rPr>
          <w:rFonts w:ascii="Times New Roman" w:hAnsi="Times New Roman" w:cs="Times New Roman"/>
          <w:sz w:val="22"/>
          <w:szCs w:val="22"/>
        </w:rPr>
        <w:t xml:space="preserve"> on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a_w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(rescaling-invariant), calibration depends on the mismatch between ‖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w‖_Σ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a_w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— and there's always a rescaling s = </w:t>
      </w:r>
      <w:r w:rsidRPr="005040FE">
        <w:rPr>
          <w:rFonts w:ascii="Cambria Math" w:hAnsi="Cambria Math" w:cs="Cambria Math"/>
          <w:sz w:val="22"/>
          <w:szCs w:val="22"/>
        </w:rPr>
        <w:t>⟨</w:t>
      </w:r>
      <w:proofErr w:type="spellStart"/>
      <w:proofErr w:type="gramStart"/>
      <w:r w:rsidRPr="005040FE">
        <w:rPr>
          <w:rFonts w:ascii="Times New Roman" w:hAnsi="Times New Roman" w:cs="Times New Roman"/>
          <w:sz w:val="22"/>
          <w:szCs w:val="22"/>
        </w:rPr>
        <w:t>w,w</w:t>
      </w:r>
      <w:proofErr w:type="spellEnd"/>
      <w:proofErr w:type="gramEnd"/>
      <w:r w:rsidRPr="005040FE">
        <w:rPr>
          <w:rFonts w:ascii="Times New Roman" w:hAnsi="Times New Roman" w:cs="Times New Roman"/>
          <w:sz w:val="22"/>
          <w:szCs w:val="22"/>
        </w:rPr>
        <w:t>*</w:t>
      </w:r>
      <w:r w:rsidRPr="005040FE">
        <w:rPr>
          <w:rFonts w:ascii="Cambria Math" w:hAnsi="Cambria Math" w:cs="Cambria Math"/>
          <w:sz w:val="22"/>
          <w:szCs w:val="22"/>
        </w:rPr>
        <w:t>⟩</w:t>
      </w:r>
      <w:r w:rsidRPr="005040FE">
        <w:rPr>
          <w:rFonts w:ascii="Times New Roman" w:hAnsi="Times New Roman" w:cs="Times New Roman"/>
          <w:sz w:val="22"/>
          <w:szCs w:val="22"/>
        </w:rPr>
        <w:t>_Σ/‖w‖²_Σ that exactly zeros calibration while leaving refinement untouched. This is presented as the theoretical grounding for why temperature scaling can cleanly separate the two error sources.</w:t>
      </w:r>
    </w:p>
    <w:p w14:paraId="6F24EC2C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 xml:space="preserve">High-dimensional </w:t>
      </w:r>
      <w:proofErr w:type="spellStart"/>
      <w:r w:rsidRPr="005040FE">
        <w:rPr>
          <w:rFonts w:ascii="Times New Roman" w:hAnsi="Times New Roman" w:cs="Times New Roman"/>
          <w:b/>
          <w:bCs/>
          <w:sz w:val="22"/>
          <w:szCs w:val="22"/>
        </w:rPr>
        <w:t>asymptotics</w:t>
      </w:r>
      <w:proofErr w:type="spellEnd"/>
      <w:r w:rsidRPr="005040FE">
        <w:rPr>
          <w:rFonts w:ascii="Times New Roman" w:hAnsi="Times New Roman" w:cs="Times New Roman"/>
          <w:b/>
          <w:bCs/>
          <w:sz w:val="22"/>
          <w:szCs w:val="22"/>
        </w:rPr>
        <w:t xml:space="preserve"> (Section 7).</w:t>
      </w:r>
      <w:r w:rsidRPr="005040FE">
        <w:rPr>
          <w:rFonts w:ascii="Times New Roman" w:hAnsi="Times New Roman" w:cs="Times New Roman"/>
          <w:sz w:val="22"/>
          <w:szCs w:val="22"/>
        </w:rPr>
        <w:t xml:space="preserve"> Using an existing characterization (Mai et al. [2019]) of the asymptotic distribution of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w_λ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for ℓ2-regularized logistic regression under a random-features / random-matrix-theory regime, the authors derive closed-form limits for </w:t>
      </w:r>
      <w:r w:rsidRPr="005040FE">
        <w:rPr>
          <w:rFonts w:ascii="Cambria Math" w:hAnsi="Cambria Math" w:cs="Cambria Math"/>
          <w:sz w:val="22"/>
          <w:szCs w:val="22"/>
        </w:rPr>
        <w:t>⟨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w_</w:t>
      </w:r>
      <w:proofErr w:type="gramStart"/>
      <w:r w:rsidRPr="005040FE">
        <w:rPr>
          <w:rFonts w:ascii="Times New Roman" w:hAnsi="Times New Roman" w:cs="Times New Roman"/>
          <w:sz w:val="22"/>
          <w:szCs w:val="22"/>
        </w:rPr>
        <w:t>λ,w</w:t>
      </w:r>
      <w:proofErr w:type="spellEnd"/>
      <w:proofErr w:type="gramEnd"/>
      <w:r w:rsidRPr="005040FE">
        <w:rPr>
          <w:rFonts w:ascii="Times New Roman" w:hAnsi="Times New Roman" w:cs="Times New Roman"/>
          <w:sz w:val="22"/>
          <w:szCs w:val="22"/>
        </w:rPr>
        <w:t>*</w:t>
      </w:r>
      <w:r w:rsidRPr="005040FE">
        <w:rPr>
          <w:rFonts w:ascii="Cambria Math" w:hAnsi="Cambria Math" w:cs="Cambria Math"/>
          <w:sz w:val="22"/>
          <w:szCs w:val="22"/>
        </w:rPr>
        <w:t>⟩</w:t>
      </w:r>
      <w:r w:rsidRPr="005040FE">
        <w:rPr>
          <w:rFonts w:ascii="Times New Roman" w:hAnsi="Times New Roman" w:cs="Times New Roman"/>
          <w:sz w:val="22"/>
          <w:szCs w:val="22"/>
        </w:rPr>
        <w:t>_Σ and ‖w_λ‖²_Σ as functions of λ and the spectral distribution of Σ (Props 7.1, 7.3). Plugging into Prop 6.1 yields calibration/refinement curves over λ (Fig. 7), empirically validated against 50-seed simulations with close agreement between theory and simulation.</w:t>
      </w:r>
    </w:p>
    <w:p w14:paraId="76855947" w14:textId="77777777" w:rsidR="005040FE" w:rsidRPr="005040FE" w:rsidRDefault="005040FE" w:rsidP="005040F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Reproducibility Assessment</w:t>
      </w:r>
    </w:p>
    <w:p w14:paraId="74BEFE63" w14:textId="77777777" w:rsidR="005040FE" w:rsidRPr="005040FE" w:rsidRDefault="005040FE" w:rsidP="005040F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Code available?</w:t>
      </w:r>
      <w:r w:rsidRPr="005040FE">
        <w:rPr>
          <w:rFonts w:ascii="Times New Roman" w:hAnsi="Times New Roman" w:cs="Times New Roman"/>
          <w:sz w:val="22"/>
          <w:szCs w:val="22"/>
        </w:rPr>
        <w:t xml:space="preserve"> Yes — three separate repositories are named: github.com/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dholzmueller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probmetrics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(refinement estimator package), github.com/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eugeneberta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RefineThenCalibrate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-Vision (CV benchmark code), github.com/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eugeneberta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RefineThenCalibrate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-Theory (theoretical model solver), and github.com/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dholzmueller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pytabkit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 (tabular benchmark code). I have not verified these repositories are live/functional — that would require an independent check.</w:t>
      </w:r>
    </w:p>
    <w:p w14:paraId="5E321712" w14:textId="77777777" w:rsidR="005040FE" w:rsidRPr="005040FE" w:rsidRDefault="005040FE" w:rsidP="005040F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Hyperparameters reported?</w:t>
      </w:r>
      <w:r w:rsidRPr="005040FE">
        <w:rPr>
          <w:rFonts w:ascii="Times New Roman" w:hAnsi="Times New Roman" w:cs="Times New Roman"/>
          <w:sz w:val="22"/>
          <w:szCs w:val="22"/>
        </w:rPr>
        <w:t xml:space="preserve"> Yes, in detail — full tables in Appendix F (F.1–F.4) specify default and tuned search spaces for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XGBoost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 xml:space="preserve">, MLP,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RealMLP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.</w:t>
      </w:r>
    </w:p>
    <w:p w14:paraId="42ABF82A" w14:textId="77777777" w:rsidR="005040FE" w:rsidRPr="005040FE" w:rsidRDefault="005040FE" w:rsidP="005040F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lastRenderedPageBreak/>
        <w:t>Datasets public?</w:t>
      </w:r>
      <w:r w:rsidRPr="005040FE">
        <w:rPr>
          <w:rFonts w:ascii="Times New Roman" w:hAnsi="Times New Roman" w:cs="Times New Roman"/>
          <w:sz w:val="22"/>
          <w:szCs w:val="22"/>
        </w:rPr>
        <w:t xml:space="preserve"> Yes — CIFAR-10/100, SVHN (standard), and the 196 (196→pruned to fewer after filtering) tabular datasets from Ye et al. [2024]'s benchmark, itself built on public sources.</w:t>
      </w:r>
    </w:p>
    <w:p w14:paraId="5A5C28F1" w14:textId="77777777" w:rsidR="005040FE" w:rsidRPr="005040FE" w:rsidRDefault="005040FE" w:rsidP="005040F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Compute reported?</w:t>
      </w:r>
      <w:r w:rsidRPr="005040FE">
        <w:rPr>
          <w:rFonts w:ascii="Times New Roman" w:hAnsi="Times New Roman" w:cs="Times New Roman"/>
          <w:sz w:val="22"/>
          <w:szCs w:val="22"/>
        </w:rPr>
        <w:t xml:space="preserve"> Yes — ~300 GPU-hours (V100) for vision experiments; ~40 hours on a 32-core CPU + 4×RTX 3090 for tabular experiments.</w:t>
      </w:r>
    </w:p>
    <w:p w14:paraId="1C9B7C8C" w14:textId="77777777" w:rsidR="005040FE" w:rsidRPr="005040FE" w:rsidRDefault="005040FE" w:rsidP="005040F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Concerns</w:t>
      </w:r>
      <w:r w:rsidRPr="005040FE">
        <w:rPr>
          <w:rFonts w:ascii="Times New Roman" w:hAnsi="Times New Roman" w:cs="Times New Roman"/>
          <w:sz w:val="22"/>
          <w:szCs w:val="22"/>
        </w:rPr>
        <w:t xml:space="preserve">: The vision experiments use only 10 runs/dataset (reasonable for CIs but not huge); the tabular "10K+ samples" subset used for main comparisons is 65 datasets, with the appendix noting results are </w:t>
      </w:r>
      <w:proofErr w:type="gramStart"/>
      <w:r w:rsidRPr="005040FE">
        <w:rPr>
          <w:rFonts w:ascii="Times New Roman" w:hAnsi="Times New Roman" w:cs="Times New Roman"/>
          <w:sz w:val="22"/>
          <w:szCs w:val="22"/>
        </w:rPr>
        <w:t>more noisy</w:t>
      </w:r>
      <w:proofErr w:type="gramEnd"/>
      <w:r w:rsidRPr="005040FE">
        <w:rPr>
          <w:rFonts w:ascii="Times New Roman" w:hAnsi="Times New Roman" w:cs="Times New Roman"/>
          <w:sz w:val="22"/>
          <w:szCs w:val="22"/>
        </w:rPr>
        <w:t xml:space="preserve"> and unclear for small or easy datasets, i.e., the headline effect is dataset-size-dependent and this is disclosed, not hidden.</w:t>
      </w:r>
    </w:p>
    <w:p w14:paraId="1405B5EB" w14:textId="77777777" w:rsidR="005040FE" w:rsidRPr="005040FE" w:rsidRDefault="005040FE" w:rsidP="005040F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Limitations &amp; Open Questions (author-acknowledged)</w:t>
      </w:r>
    </w:p>
    <w:p w14:paraId="3A20AE8C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>The authors' own stated limitations (Section 8, Conclusion):</w:t>
      </w:r>
    </w:p>
    <w:p w14:paraId="12D4F0DA" w14:textId="77777777" w:rsidR="005040FE" w:rsidRPr="005040FE" w:rsidRDefault="005040FE" w:rsidP="005040FE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 xml:space="preserve">TS-refinement can be more sensitive to overfitting on small validation sets, for which they suggest cross-validation, </w:t>
      </w:r>
      <w:proofErr w:type="spellStart"/>
      <w:r w:rsidRPr="005040FE">
        <w:rPr>
          <w:rFonts w:ascii="Times New Roman" w:hAnsi="Times New Roman" w:cs="Times New Roman"/>
          <w:sz w:val="22"/>
          <w:szCs w:val="22"/>
        </w:rPr>
        <w:t>ensembling</w:t>
      </w:r>
      <w:proofErr w:type="spellEnd"/>
      <w:r w:rsidRPr="005040FE">
        <w:rPr>
          <w:rFonts w:ascii="Times New Roman" w:hAnsi="Times New Roman" w:cs="Times New Roman"/>
          <w:sz w:val="22"/>
          <w:szCs w:val="22"/>
        </w:rPr>
        <w:t>, or regularized calibrators as mitigations they did not fully explore.</w:t>
      </w:r>
    </w:p>
    <w:p w14:paraId="0E289352" w14:textId="77777777" w:rsidR="005040FE" w:rsidRPr="005040FE" w:rsidRDefault="005040FE" w:rsidP="005040FE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>They did not explore combining TS-refinement with cross-validation instead of holdout validation.</w:t>
      </w:r>
    </w:p>
    <w:p w14:paraId="45A86623" w14:textId="77777777" w:rsidR="005040FE" w:rsidRPr="005040FE" w:rsidRDefault="005040FE" w:rsidP="005040FE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>The influence of training hyperparameters (optimizers, schedulers, regularization strength) on the calibration/refinement dynamics during training is called "little-explored."</w:t>
      </w:r>
    </w:p>
    <w:p w14:paraId="68633324" w14:textId="77777777" w:rsidR="005040FE" w:rsidRPr="005040FE" w:rsidRDefault="005040FE" w:rsidP="005040FE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>They note their method could plausibly help fine-tuning of foundation models but did not test this directly, only citing it as a hoped-for extension.</w:t>
      </w:r>
    </w:p>
    <w:p w14:paraId="40ADD188" w14:textId="77777777" w:rsidR="005040FE" w:rsidRPr="005040FE" w:rsidRDefault="005040FE" w:rsidP="005040FE">
      <w:p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sz w:val="22"/>
          <w:szCs w:val="22"/>
        </w:rPr>
        <w:t xml:space="preserve">[Reviewer note: A few things worth flagging independently. First, the theoretical section (6–7) is a genuinely simplified model — balanced binary classes, Gaussian class-conditionals, diagonal Σ — and the paper is explicit that this is meant only to </w:t>
      </w:r>
      <w:r w:rsidRPr="005040FE">
        <w:rPr>
          <w:rFonts w:ascii="Times New Roman" w:hAnsi="Times New Roman" w:cs="Times New Roman"/>
          <w:i/>
          <w:iCs/>
          <w:sz w:val="22"/>
          <w:szCs w:val="22"/>
        </w:rPr>
        <w:t>illustrate</w:t>
      </w:r>
      <w:r w:rsidRPr="005040FE">
        <w:rPr>
          <w:rFonts w:ascii="Times New Roman" w:hAnsi="Times New Roman" w:cs="Times New Roman"/>
          <w:sz w:val="22"/>
          <w:szCs w:val="22"/>
        </w:rPr>
        <w:t xml:space="preserve"> the phenomenon qualitatively (the "2% gain" and "up to 25%" figures come from this stylized model, not from real data, so they shouldn't be read as guarantees for deep nets). Second, the practical method's validity rests on TS-refinement being a good </w:t>
      </w:r>
      <w:r w:rsidRPr="005040FE">
        <w:rPr>
          <w:rFonts w:ascii="Times New Roman" w:hAnsi="Times New Roman" w:cs="Times New Roman"/>
          <w:i/>
          <w:iCs/>
          <w:sz w:val="22"/>
          <w:szCs w:val="22"/>
        </w:rPr>
        <w:t>proxy</w:t>
      </w:r>
      <w:r w:rsidRPr="005040FE">
        <w:rPr>
          <w:rFonts w:ascii="Times New Roman" w:hAnsi="Times New Roman" w:cs="Times New Roman"/>
          <w:sz w:val="22"/>
          <w:szCs w:val="22"/>
        </w:rPr>
        <w:t xml:space="preserve"> for true refinement error, which the paper itself calls "a biased estimator" (Section 4.2) — the empirical gains are consistent with this being a useful biased estimator, but the bias itself isn't quantified. Third, all reported empirical numbers here are taken directly from the paper's tables, but I have not independently re-run or verified any of these experiments.]</w:t>
      </w:r>
    </w:p>
    <w:p w14:paraId="674C25FF" w14:textId="77777777" w:rsidR="005040FE" w:rsidRPr="005040FE" w:rsidRDefault="005040FE" w:rsidP="005040F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Connections</w:t>
      </w:r>
    </w:p>
    <w:p w14:paraId="6F5A8E70" w14:textId="77777777" w:rsidR="005040FE" w:rsidRPr="005040FE" w:rsidRDefault="005040FE" w:rsidP="005040FE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Ranjan et al. [2024]</w:t>
      </w:r>
      <w:r w:rsidRPr="005040FE">
        <w:rPr>
          <w:rFonts w:ascii="Times New Roman" w:hAnsi="Times New Roman" w:cs="Times New Roman"/>
          <w:sz w:val="22"/>
          <w:szCs w:val="22"/>
        </w:rPr>
        <w:t xml:space="preserve"> ("Post-hoc reversal") — an empirically-motivated precursor observation that selecting epochs based on loss-after-post-hoc-transformation improves performance; this paper provides the theoretical grounding (via the variational decomposition) for </w:t>
      </w:r>
      <w:r w:rsidRPr="005040FE">
        <w:rPr>
          <w:rFonts w:ascii="Times New Roman" w:hAnsi="Times New Roman" w:cs="Times New Roman"/>
          <w:i/>
          <w:iCs/>
          <w:sz w:val="22"/>
          <w:szCs w:val="22"/>
        </w:rPr>
        <w:t>why</w:t>
      </w:r>
      <w:r w:rsidRPr="005040FE">
        <w:rPr>
          <w:rFonts w:ascii="Times New Roman" w:hAnsi="Times New Roman" w:cs="Times New Roman"/>
          <w:sz w:val="22"/>
          <w:szCs w:val="22"/>
        </w:rPr>
        <w:t xml:space="preserve"> that empirical trick works.</w:t>
      </w:r>
    </w:p>
    <w:p w14:paraId="0017409F" w14:textId="77777777" w:rsidR="005040FE" w:rsidRPr="005040FE" w:rsidRDefault="005040FE" w:rsidP="005040FE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t>Guo et al. [2017]</w:t>
      </w:r>
      <w:r w:rsidRPr="005040FE">
        <w:rPr>
          <w:rFonts w:ascii="Times New Roman" w:hAnsi="Times New Roman" w:cs="Times New Roman"/>
          <w:sz w:val="22"/>
          <w:szCs w:val="22"/>
        </w:rPr>
        <w:t xml:space="preserve"> ("On calibration of modern neural networks") — the foundational empirical paper establishing that modern NNs are poorly calibrated and popularizing temperature scaling; this paper builds directly on TS as its post-hoc calibration tool of choice.</w:t>
      </w:r>
    </w:p>
    <w:p w14:paraId="1716D6D3" w14:textId="77777777" w:rsidR="005040FE" w:rsidRPr="005040FE" w:rsidRDefault="005040FE" w:rsidP="005040FE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5040FE">
        <w:rPr>
          <w:rFonts w:ascii="Times New Roman" w:hAnsi="Times New Roman" w:cs="Times New Roman"/>
          <w:b/>
          <w:bCs/>
          <w:sz w:val="22"/>
          <w:szCs w:val="22"/>
        </w:rPr>
        <w:t>Bröcker</w:t>
      </w:r>
      <w:proofErr w:type="spellEnd"/>
      <w:r w:rsidRPr="005040FE">
        <w:rPr>
          <w:rFonts w:ascii="Times New Roman" w:hAnsi="Times New Roman" w:cs="Times New Roman"/>
          <w:b/>
          <w:bCs/>
          <w:sz w:val="22"/>
          <w:szCs w:val="22"/>
        </w:rPr>
        <w:t xml:space="preserve"> [2009]</w:t>
      </w:r>
      <w:r w:rsidRPr="005040FE">
        <w:rPr>
          <w:rFonts w:ascii="Times New Roman" w:hAnsi="Times New Roman" w:cs="Times New Roman"/>
          <w:sz w:val="22"/>
          <w:szCs w:val="22"/>
        </w:rPr>
        <w:t xml:space="preserve"> — source of the classical calibration-refinement and calibration-sharpness decompositions (Eq. 1–2) that this paper reformulates variationally.</w:t>
      </w:r>
    </w:p>
    <w:p w14:paraId="623C25EF" w14:textId="77777777" w:rsidR="005040FE" w:rsidRPr="005040FE" w:rsidRDefault="005040FE" w:rsidP="005040FE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5040FE">
        <w:rPr>
          <w:rFonts w:ascii="Times New Roman" w:hAnsi="Times New Roman" w:cs="Times New Roman"/>
          <w:b/>
          <w:bCs/>
          <w:sz w:val="22"/>
          <w:szCs w:val="22"/>
        </w:rPr>
        <w:lastRenderedPageBreak/>
        <w:t>Mai et al. [2019]</w:t>
      </w:r>
      <w:r w:rsidRPr="005040FE">
        <w:rPr>
          <w:rFonts w:ascii="Times New Roman" w:hAnsi="Times New Roman" w:cs="Times New Roman"/>
          <w:sz w:val="22"/>
          <w:szCs w:val="22"/>
        </w:rPr>
        <w:t xml:space="preserve"> — supplies the high-dimensional asymptotic characterization of regularized logistic regression weights that the paper's Section 7 theory directly builds on.</w:t>
      </w:r>
    </w:p>
    <w:p w14:paraId="07725329" w14:textId="77777777" w:rsidR="00564BE2" w:rsidRPr="005040FE" w:rsidRDefault="00564BE2">
      <w:pPr>
        <w:rPr>
          <w:rFonts w:ascii="Times New Roman" w:hAnsi="Times New Roman" w:cs="Times New Roman"/>
        </w:rPr>
      </w:pPr>
    </w:p>
    <w:sectPr w:rsidR="00564BE2" w:rsidRPr="005040FE" w:rsidSect="00130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24718"/>
    <w:multiLevelType w:val="multilevel"/>
    <w:tmpl w:val="458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E5CBB"/>
    <w:multiLevelType w:val="multilevel"/>
    <w:tmpl w:val="6350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213C4"/>
    <w:multiLevelType w:val="multilevel"/>
    <w:tmpl w:val="FF46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07013"/>
    <w:multiLevelType w:val="multilevel"/>
    <w:tmpl w:val="C0F0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B75C9"/>
    <w:multiLevelType w:val="multilevel"/>
    <w:tmpl w:val="E00E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E411A6"/>
    <w:multiLevelType w:val="multilevel"/>
    <w:tmpl w:val="649C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014026">
    <w:abstractNumId w:val="4"/>
  </w:num>
  <w:num w:numId="2" w16cid:durableId="582447970">
    <w:abstractNumId w:val="3"/>
  </w:num>
  <w:num w:numId="3" w16cid:durableId="182718208">
    <w:abstractNumId w:val="5"/>
  </w:num>
  <w:num w:numId="4" w16cid:durableId="1553883076">
    <w:abstractNumId w:val="2"/>
  </w:num>
  <w:num w:numId="5" w16cid:durableId="656883503">
    <w:abstractNumId w:val="0"/>
  </w:num>
  <w:num w:numId="6" w16cid:durableId="1921212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CD"/>
    <w:rsid w:val="000C3C26"/>
    <w:rsid w:val="00130091"/>
    <w:rsid w:val="002D71F9"/>
    <w:rsid w:val="00443FDB"/>
    <w:rsid w:val="005040FE"/>
    <w:rsid w:val="00564BE2"/>
    <w:rsid w:val="008222E1"/>
    <w:rsid w:val="00931A79"/>
    <w:rsid w:val="0099401B"/>
    <w:rsid w:val="00E42674"/>
    <w:rsid w:val="00EC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9373CC"/>
  <w15:chartTrackingRefBased/>
  <w15:docId w15:val="{E94F08EC-4F1D-4D22-BC88-BBCA0055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0FE"/>
    <w:pPr>
      <w:keepNext/>
      <w:keepLines/>
      <w:spacing w:after="0"/>
      <w:outlineLvl w:val="0"/>
    </w:pPr>
    <w:rPr>
      <w:rFonts w:ascii="Times New Roman" w:eastAsiaTheme="majorEastAsia" w:hAnsi="Times New Roman" w:cs="Times New Roman"/>
      <w:b/>
      <w:bCs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FE"/>
    <w:rPr>
      <w:rFonts w:ascii="Times New Roman" w:eastAsiaTheme="majorEastAsia" w:hAnsi="Times New Roman" w:cs="Times New Roman"/>
      <w:b/>
      <w:bCs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1810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Suvinava Basak</dc:creator>
  <cp:keywords/>
  <dc:description/>
  <cp:lastModifiedBy>Suvinava Basak</cp:lastModifiedBy>
  <cp:revision>2</cp:revision>
  <dcterms:created xsi:type="dcterms:W3CDTF">2026-07-02T11:07:00Z</dcterms:created>
  <dcterms:modified xsi:type="dcterms:W3CDTF">2026-07-02T11:09:00Z</dcterms:modified>
</cp:coreProperties>
</file>