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94053F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商业体自研全域公域中台（抖音+小红书+美团）落地实施方案（完全自研、替换第三方SaaS、含前置资质+全角色操作）</w:t>
      </w:r>
    </w:p>
    <w:p w14:paraId="30B55878">
      <w:pPr>
        <w:spacing w:before="260" w:after="120" w:line="288" w:lineRule="auto"/>
        <w:ind w:left="0"/>
        <w:jc w:val="left"/>
        <w:outlineLvl w:val="3"/>
      </w:pPr>
      <w:bookmarkStart w:id="0" w:name="heading_0"/>
      <w:r>
        <w:rPr>
          <w:rFonts w:ascii="Arial" w:hAnsi="Arial" w:eastAsia="等线" w:cs="Arial"/>
          <w:b/>
          <w:sz w:val="28"/>
        </w:rPr>
        <w:t>2. 自研中台自动执行动作</w:t>
      </w:r>
      <w:bookmarkEnd w:id="0"/>
    </w:p>
    <w:p w14:paraId="5A6D9752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自研网关自主完成三平台OAuth鉴权、权限校验、Token持久化存储</w:t>
      </w:r>
    </w:p>
    <w:p w14:paraId="091461E6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自主配置各平台SPI消息回调地址，订单、核销、入会、退款事件实时直推自研中台，无第三方转发延迟</w:t>
      </w:r>
    </w:p>
    <w:p w14:paraId="3BD2F0AB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支持单渠道独立开关、单独解绑、单独迭代，三平台互不干扰，自主可控</w:t>
      </w:r>
    </w:p>
    <w:p w14:paraId="5CC074F4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自动生成「商场-渠道-门店」唯一映射关系，为后续核销、对账、结算提供底层依据</w:t>
      </w:r>
    </w:p>
    <w:p w14:paraId="3A43A46D">
      <w:pPr>
        <w:spacing w:before="260" w:after="120" w:line="288" w:lineRule="auto"/>
        <w:ind w:left="0"/>
        <w:jc w:val="left"/>
        <w:outlineLvl w:val="3"/>
      </w:pPr>
      <w:bookmarkStart w:id="1" w:name="heading_1"/>
      <w:r>
        <w:rPr>
          <w:rFonts w:ascii="Arial" w:hAnsi="Arial" w:eastAsia="等线" w:cs="Arial"/>
          <w:b/>
          <w:sz w:val="28"/>
        </w:rPr>
        <w:t>3. 三平台自研对接差异化规则（自主适配）</w:t>
      </w:r>
      <w:bookmarkEnd w:id="1"/>
    </w:p>
    <w:p w14:paraId="11F81801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抖音：自主管控保证金、达人佣金分账接口、5天核销撤销时效规则</w:t>
      </w:r>
    </w:p>
    <w:p w14:paraId="27D92894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小红书：自主适配企业号年审、POI严格审核规则、笔记挂载权限逻辑</w:t>
      </w:r>
    </w:p>
    <w:p w14:paraId="22FEB86E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美团：自主适配等保合规要求、当日可批量撤券、跨日人工申诉规则</w:t>
      </w:r>
    </w:p>
    <w:p w14:paraId="2ABBD48D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能力2：全域券双向自主同步 + 统一到店核销（自研卡券中台核心能力）</w:t>
      </w:r>
      <w:bookmarkEnd w:id="2"/>
    </w:p>
    <w:p w14:paraId="262288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负责角色</w:t>
      </w:r>
      <w:r>
        <w:rPr>
          <w:rFonts w:ascii="Arial" w:hAnsi="Arial" w:eastAsia="等线" w:cs="Arial"/>
          <w:sz w:val="22"/>
        </w:rPr>
        <w:t>：商场运营、门店店员、顾客、自研中台系统（自动执行）</w:t>
      </w:r>
    </w:p>
    <w:p w14:paraId="126CF8A9">
      <w:pPr>
        <w:spacing w:before="260" w:after="120" w:line="288" w:lineRule="auto"/>
        <w:ind w:left="0"/>
        <w:jc w:val="left"/>
        <w:outlineLvl w:val="3"/>
      </w:pPr>
      <w:bookmarkStart w:id="3" w:name="heading_3"/>
      <w:r>
        <w:rPr>
          <w:rFonts w:ascii="Arial" w:hAnsi="Arial" w:eastAsia="等线" w:cs="Arial"/>
          <w:b/>
          <w:sz w:val="28"/>
        </w:rPr>
        <w:t>1. 正向同步：自研后台建券→三平台自动上架（自主管控券池）</w:t>
      </w:r>
      <w:bookmarkEnd w:id="3"/>
    </w:p>
    <w:p w14:paraId="22C6EBE7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商场运营登录自研中台后台，统一创建全场通用券、代金券、门店套餐、品类团购券</w:t>
      </w:r>
    </w:p>
    <w:p w14:paraId="7C6D717D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自主配置券价格、库存、适用门店、有效期、限购规则、商户成本分摊比例</w:t>
      </w:r>
    </w:p>
    <w:p w14:paraId="3747AB0E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自研卡券中台核心动作</w:t>
      </w:r>
      <w:r>
        <w:rPr>
          <w:rFonts w:ascii="Arial" w:hAnsi="Arial" w:eastAsia="等线" w:cs="Arial"/>
          <w:sz w:val="22"/>
        </w:rPr>
        <w:t>：自主生成全局唯一加密券码池，搭建自有库存体系</w:t>
      </w:r>
    </w:p>
    <w:p w14:paraId="2FD598F9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自研网关分别调用抖音、小红书、美团官方商品接口，自动同步券图文、价格、库存至三大公域店铺</w:t>
      </w:r>
    </w:p>
    <w:p w14:paraId="206A73A3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自研Redis分布式锁管控全局总库存，多平台售卖共享同一库存池，自主杜绝超卖、重复上架问题</w:t>
      </w:r>
    </w:p>
    <w:p w14:paraId="5DD2EDC9">
      <w:pPr>
        <w:spacing w:before="260" w:after="120" w:line="288" w:lineRule="auto"/>
        <w:ind w:left="0"/>
        <w:jc w:val="left"/>
        <w:outlineLvl w:val="3"/>
      </w:pPr>
      <w:bookmarkStart w:id="4" w:name="heading_4"/>
      <w:r>
        <w:rPr>
          <w:rFonts w:ascii="Arial" w:hAnsi="Arial" w:eastAsia="等线" w:cs="Arial"/>
          <w:b/>
          <w:sz w:val="28"/>
        </w:rPr>
        <w:t>2. 反向同步：公域下单→自研中台数据回流+私域卡包同步</w:t>
      </w:r>
      <w:bookmarkEnd w:id="4"/>
    </w:p>
    <w:p w14:paraId="6297145E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顾客在抖音/小红书/美团任意公域平台下单购券、支付成功</w:t>
      </w:r>
    </w:p>
    <w:p w14:paraId="0CEEA9B2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三平台通过官方SPI接口，直接将订单信息、唯一券码、支付数据推送至商场自研中台</w:t>
      </w:r>
    </w:p>
    <w:p w14:paraId="54D59A76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自研中台自主校验订单有效性，同步将公域券写入商场自有微信小程序卡包</w:t>
      </w:r>
    </w:p>
    <w:p w14:paraId="39CE8EAD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实现「任意公域买券、全渠道可视、全渠道可用」的全域互通能力，数据全程无第三方中转</w:t>
      </w:r>
    </w:p>
    <w:p w14:paraId="09965335">
      <w:pPr>
        <w:spacing w:before="260" w:after="120" w:line="288" w:lineRule="auto"/>
        <w:ind w:left="0"/>
        <w:jc w:val="left"/>
        <w:outlineLvl w:val="3"/>
      </w:pPr>
      <w:bookmarkStart w:id="5" w:name="heading_5"/>
      <w:r>
        <w:rPr>
          <w:rFonts w:ascii="Arial" w:hAnsi="Arial" w:eastAsia="等线" w:cs="Arial"/>
          <w:b/>
          <w:sz w:val="28"/>
        </w:rPr>
        <w:t>3. 到店统一核销完整落地步骤（收银独立、自研终端核销）</w:t>
      </w:r>
      <w:bookmarkEnd w:id="5"/>
    </w:p>
    <w:p w14:paraId="5985238F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顾客操作</w:t>
      </w:r>
      <w:r>
        <w:rPr>
          <w:rFonts w:ascii="Arial" w:hAnsi="Arial" w:eastAsia="等线" w:cs="Arial"/>
          <w:sz w:val="22"/>
        </w:rPr>
        <w:t>：到店消费结账，出示抖音/小红书/美团/微信小程序任意一端的平台券码</w:t>
      </w:r>
    </w:p>
    <w:p w14:paraId="6682F093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门店店员操作</w:t>
      </w:r>
      <w:r>
        <w:rPr>
          <w:rFonts w:ascii="Arial" w:hAnsi="Arial" w:eastAsia="等线" w:cs="Arial"/>
          <w:sz w:val="22"/>
        </w:rPr>
        <w:t>：使用</w:t>
      </w:r>
      <w:r>
        <w:rPr>
          <w:rFonts w:ascii="Arial" w:hAnsi="Arial" w:eastAsia="等线" w:cs="Arial"/>
          <w:b/>
          <w:sz w:val="22"/>
        </w:rPr>
        <w:t>商场自研核销平板/商户助手小程序</w:t>
      </w:r>
      <w:r>
        <w:rPr>
          <w:rFonts w:ascii="Arial" w:hAnsi="Arial" w:eastAsia="等线" w:cs="Arial"/>
          <w:sz w:val="22"/>
        </w:rPr>
        <w:t>扫码核销（全程不操作、不触碰银豹收银系统）</w:t>
      </w:r>
    </w:p>
    <w:p w14:paraId="5418E6B9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自研中台自动校验</w:t>
      </w:r>
      <w:r>
        <w:rPr>
          <w:rFonts w:ascii="Arial" w:hAnsi="Arial" w:eastAsia="等线" w:cs="Arial"/>
          <w:sz w:val="22"/>
        </w:rPr>
        <w:t>：自主核验券码有效性、有效期、适用门店、是否已核销、是否违规使用</w:t>
      </w:r>
    </w:p>
    <w:p w14:paraId="7EE75C1B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自研中台双向同步</w:t>
      </w:r>
      <w:r>
        <w:rPr>
          <w:rFonts w:ascii="Arial" w:hAnsi="Arial" w:eastAsia="等线" w:cs="Arial"/>
          <w:sz w:val="22"/>
        </w:rPr>
        <w:t>：① 自主回传核销状态至对应公域平台，同步更新平台券状态；② 自动写入会员消费档案，按商场规则发放对应积分</w:t>
      </w:r>
    </w:p>
    <w:p w14:paraId="3A72229D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店员收银操作</w:t>
      </w:r>
      <w:r>
        <w:rPr>
          <w:rFonts w:ascii="Arial" w:hAnsi="Arial" w:eastAsia="等线" w:cs="Arial"/>
          <w:sz w:val="22"/>
        </w:rPr>
        <w:t>：银豹系统手动录入本次券抵扣金额，标准化备注渠道+券码（DY_xxx/XHS_xxx/MT_xxx），留存对账依据</w:t>
      </w:r>
    </w:p>
    <w:p w14:paraId="10D3600E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顾客操作</w:t>
      </w:r>
      <w:r>
        <w:rPr>
          <w:rFonts w:ascii="Arial" w:hAnsi="Arial" w:eastAsia="等线" w:cs="Arial"/>
          <w:sz w:val="22"/>
        </w:rPr>
        <w:t>：支付订单剩余尾款，银豹正常出小票，门店订单完成</w:t>
      </w:r>
    </w:p>
    <w:p w14:paraId="483707CE">
      <w:pPr>
        <w:spacing w:before="260" w:after="120" w:line="288" w:lineRule="auto"/>
        <w:ind w:left="0"/>
        <w:jc w:val="left"/>
        <w:outlineLvl w:val="3"/>
      </w:pPr>
      <w:bookmarkStart w:id="6" w:name="heading_6"/>
      <w:r>
        <w:rPr>
          <w:rFonts w:ascii="Arial" w:hAnsi="Arial" w:eastAsia="等线" w:cs="Arial"/>
          <w:b/>
          <w:sz w:val="28"/>
        </w:rPr>
        <w:t>4. 自研逆向退款核销流程</w:t>
      </w:r>
      <w:bookmarkEnd w:id="6"/>
    </w:p>
    <w:p w14:paraId="5F139F78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门店店员在独立银豹系统操作整单/部分退款，取消订单优惠</w:t>
      </w:r>
    </w:p>
    <w:p w14:paraId="0B155F15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店员在自研核销终端，输入原券码发起撤销核销申请</w:t>
      </w:r>
    </w:p>
    <w:p w14:paraId="2D31656D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自研中台根据各平台规则，自主调用撤销接口：抖音5天内可自动撤券、美团当日批量撤券、超期自动生成异常工单</w:t>
      </w:r>
    </w:p>
    <w:p w14:paraId="2F1BC467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中台自主冲减门店核销台账、扣减对应积分，月度结算自动同步冲减商户应付金额</w:t>
      </w:r>
    </w:p>
    <w:p w14:paraId="57F9BD58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能力3：公域内容种草 + 自研路由跨端跳转（自主引流归因）</w:t>
      </w:r>
      <w:bookmarkEnd w:id="7"/>
    </w:p>
    <w:p w14:paraId="3E74E8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负责角色</w:t>
      </w:r>
      <w:r>
        <w:rPr>
          <w:rFonts w:ascii="Arial" w:hAnsi="Arial" w:eastAsia="等线" w:cs="Arial"/>
          <w:sz w:val="22"/>
        </w:rPr>
        <w:t>：商场运营、合作达人、顾客、自研中台系统</w:t>
      </w:r>
    </w:p>
    <w:p w14:paraId="239B6EE0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商场运营在自研中台后台，自主配置活动页面、商城首页、单品详情路由</w:t>
      </w:r>
    </w:p>
    <w:p w14:paraId="7B706238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自研路由模块自动生成</w:t>
      </w:r>
      <w:r>
        <w:rPr>
          <w:rFonts w:ascii="Arial" w:hAnsi="Arial" w:eastAsia="等线" w:cs="Arial"/>
          <w:b/>
          <w:sz w:val="22"/>
        </w:rPr>
        <w:t>带专属埋点的短链</w:t>
      </w:r>
      <w:r>
        <w:rPr>
          <w:rFonts w:ascii="Arial" w:hAnsi="Arial" w:eastAsia="等线" w:cs="Arial"/>
          <w:sz w:val="22"/>
        </w:rPr>
        <w:t>，内置渠道标识、达人ID、笔记ID、活动ID，自主实现归因统计</w:t>
      </w:r>
    </w:p>
    <w:p w14:paraId="40F2C6C2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运营自主将短链路由挂载至：抖音短视频小风车、直播间卡片、小红书POI笔记、美团店铺活动页</w:t>
      </w:r>
    </w:p>
    <w:p w14:paraId="610ADD86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顾客点击公域内容卡片，自动跳转对应平台小程序活动/消费页面，无第三方跳转中转</w:t>
      </w:r>
    </w:p>
    <w:p w14:paraId="6AF8D588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自研系统自带兜底机制：平台限制跨生态跳转时，自主生成兑换口令，承接用户跳转至微信私域</w:t>
      </w:r>
    </w:p>
    <w:p w14:paraId="475D16FA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所有跳转、浏览、点击行为实时埋点，自主回流至中台BI数据模块，用于投放ROI复盘</w:t>
      </w:r>
    </w:p>
    <w:p w14:paraId="68311CB3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能力4：公域一键入会 + 自研OneID全域会员打通（自主沉淀会员资产）</w:t>
      </w:r>
      <w:bookmarkEnd w:id="8"/>
    </w:p>
    <w:p w14:paraId="77673D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负责角色</w:t>
      </w:r>
      <w:r>
        <w:rPr>
          <w:rFonts w:ascii="Arial" w:hAnsi="Arial" w:eastAsia="等线" w:cs="Arial"/>
          <w:sz w:val="22"/>
        </w:rPr>
        <w:t>：顾客、自研CDP会员中台（全自动执行）</w:t>
      </w:r>
    </w:p>
    <w:p w14:paraId="419FA019">
      <w:pPr>
        <w:spacing w:before="260" w:after="120" w:line="288" w:lineRule="auto"/>
        <w:ind w:left="0"/>
        <w:jc w:val="left"/>
        <w:outlineLvl w:val="3"/>
      </w:pPr>
      <w:bookmarkStart w:id="9" w:name="heading_9"/>
      <w:r>
        <w:rPr>
          <w:rFonts w:ascii="Arial" w:hAnsi="Arial" w:eastAsia="等线" w:cs="Arial"/>
          <w:b/>
          <w:sz w:val="28"/>
        </w:rPr>
        <w:t>1. 自研入会场景配置</w:t>
      </w:r>
      <w:bookmarkEnd w:id="9"/>
    </w:p>
    <w:p w14:paraId="1AA5A0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商场自主在三平台小程序配置入会触发场景：进页弹窗、下单前置弹窗、购券完成后弹窗、活动参与前置弹窗，无需第三方配置</w:t>
      </w:r>
    </w:p>
    <w:p w14:paraId="5EA033FB">
      <w:pPr>
        <w:spacing w:before="260" w:after="120" w:line="288" w:lineRule="auto"/>
        <w:ind w:left="0"/>
        <w:jc w:val="left"/>
        <w:outlineLvl w:val="3"/>
      </w:pPr>
      <w:bookmarkStart w:id="10" w:name="heading_10"/>
      <w:r>
        <w:rPr>
          <w:rFonts w:ascii="Arial" w:hAnsi="Arial" w:eastAsia="等线" w:cs="Arial"/>
          <w:b/>
          <w:sz w:val="28"/>
        </w:rPr>
        <w:t>2. 完整自研入会链路</w:t>
      </w:r>
      <w:bookmarkEnd w:id="10"/>
    </w:p>
    <w:p w14:paraId="1AF24D0D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顾客刷抖音短视频/小红书笔记，点击挂载入口进入公域小程序</w:t>
      </w:r>
    </w:p>
    <w:p w14:paraId="2B2829F4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触发自研入会弹窗，顾客授权同意获取【手机号+平台OpenID】</w:t>
      </w:r>
    </w:p>
    <w:p w14:paraId="397217C1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抖音/小红书/美团通过官方SPI接口，直接将用户授权信息推送至商场自研CDP中台</w:t>
      </w:r>
    </w:p>
    <w:p w14:paraId="7CF274B3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自研OneID核心匹配逻辑（自主可控）</w:t>
      </w:r>
    </w:p>
    <w:p w14:paraId="5F02A733">
      <w:pPr>
        <w:numPr>
          <w:ilvl w:val="0"/>
          <w:numId w:val="3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手机号无档案：自研中台自动创建商场自有会员账号，分配唯一会员ID，自主发放新人券、入会积分</w:t>
      </w:r>
    </w:p>
    <w:p w14:paraId="6E069745">
      <w:pPr>
        <w:numPr>
          <w:ilvl w:val="0"/>
          <w:numId w:val="3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手机号已存在：自主绑定当前平台OpenID至原有会员账号，全域积分、优惠券、会员等级自动互通合并</w:t>
      </w:r>
    </w:p>
    <w:p w14:paraId="176D0E61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入会权益由自研中台自主分发，同步至三平台卡包，用户任意渠道均可使用</w:t>
      </w:r>
    </w:p>
    <w:p w14:paraId="52AF6FDC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用户取消平台授权时，自研中台仅解绑对应渠道ID，</w:t>
      </w:r>
      <w:r>
        <w:rPr>
          <w:rFonts w:ascii="Arial" w:hAnsi="Arial" w:eastAsia="等线" w:cs="Arial"/>
          <w:b/>
          <w:sz w:val="22"/>
        </w:rPr>
        <w:t>商场自有会员主数据永久留存</w:t>
      </w:r>
      <w:r>
        <w:rPr>
          <w:rFonts w:ascii="Arial" w:hAnsi="Arial" w:eastAsia="等线" w:cs="Arial"/>
          <w:sz w:val="22"/>
        </w:rPr>
        <w:t>，牢牢锁定私域资产</w:t>
      </w:r>
    </w:p>
    <w:p w14:paraId="00EC4428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能力5：全域数据自主回流 + 自研BI报表分析（数据完全自主）</w:t>
      </w:r>
      <w:bookmarkEnd w:id="11"/>
    </w:p>
    <w:p w14:paraId="276592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负责角色</w:t>
      </w:r>
      <w:r>
        <w:rPr>
          <w:rFonts w:ascii="Arial" w:hAnsi="Arial" w:eastAsia="等线" w:cs="Arial"/>
          <w:sz w:val="22"/>
        </w:rPr>
        <w:t>：商场运营、财务、自研数据中台（全自动实时回流）</w:t>
      </w:r>
    </w:p>
    <w:p w14:paraId="32D895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所有数据</w:t>
      </w:r>
      <w:r>
        <w:rPr>
          <w:rFonts w:ascii="Arial" w:hAnsi="Arial" w:eastAsia="等线" w:cs="Arial"/>
          <w:b/>
          <w:sz w:val="22"/>
        </w:rPr>
        <w:t>不经过任何第三方SaaS平台</w:t>
      </w:r>
      <w:r>
        <w:rPr>
          <w:rFonts w:ascii="Arial" w:hAnsi="Arial" w:eastAsia="等线" w:cs="Arial"/>
          <w:sz w:val="22"/>
        </w:rPr>
        <w:t>，直接从公域平台回流至商场自研私有化数据仓库，自主清洗、统计、展示、导出</w:t>
      </w:r>
    </w:p>
    <w:p w14:paraId="5FAE4934">
      <w:pPr>
        <w:spacing w:before="260" w:after="120" w:line="288" w:lineRule="auto"/>
        <w:ind w:left="0"/>
        <w:jc w:val="left"/>
        <w:outlineLvl w:val="3"/>
      </w:pPr>
      <w:bookmarkStart w:id="12" w:name="heading_12"/>
      <w:r>
        <w:rPr>
          <w:rFonts w:ascii="Arial" w:hAnsi="Arial" w:eastAsia="等线" w:cs="Arial"/>
          <w:b/>
          <w:sz w:val="28"/>
        </w:rPr>
        <w:t>1. 四类全域自主回流数据</w:t>
      </w:r>
      <w:bookmarkEnd w:id="12"/>
    </w:p>
    <w:p w14:paraId="110FF20A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会员注册数据：渠道来源、注册时间、新客标识、权益领取记录、跨平台绑定关系</w:t>
      </w:r>
    </w:p>
    <w:p w14:paraId="32B489CF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用户行为数据：公域浏览、点击、领券、收藏、分享、活动参与全量埋点数据</w:t>
      </w:r>
    </w:p>
    <w:p w14:paraId="5C536BA7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交易核销数据：分渠道下单金额、核销量、核销率、客单价、退款记录、积分发放记录</w:t>
      </w:r>
    </w:p>
    <w:p w14:paraId="1FA02E00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投放营销数据：达人ID、笔记/短视频ID、投放成本、获客CAC、单内容转化ROI</w:t>
      </w:r>
    </w:p>
    <w:p w14:paraId="7D7929E7">
      <w:pPr>
        <w:spacing w:before="260" w:after="120" w:line="288" w:lineRule="auto"/>
        <w:ind w:left="0"/>
        <w:jc w:val="left"/>
        <w:outlineLvl w:val="3"/>
      </w:pPr>
      <w:bookmarkStart w:id="13" w:name="heading_13"/>
      <w:r>
        <w:rPr>
          <w:rFonts w:ascii="Arial" w:hAnsi="Arial" w:eastAsia="等线" w:cs="Arial"/>
          <w:b/>
          <w:sz w:val="28"/>
        </w:rPr>
        <w:t>2. 自研BI自主分析能力</w:t>
      </w:r>
      <w:bookmarkEnd w:id="13"/>
    </w:p>
    <w:p w14:paraId="5F56A73C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渠道总览：自主拆分抖音、小红书、美团访客、注册、成交数据，横向对比渠道价值</w:t>
      </w:r>
    </w:p>
    <w:p w14:paraId="2482E9E9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投放复盘：自主统计单条短视频、单篇笔记的曝光-点击-注册-核销全链路转化</w:t>
      </w:r>
    </w:p>
    <w:p w14:paraId="7626BBFB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会员分析：自主划分公域新客层级，统计复购率、生命周期价值</w:t>
      </w:r>
    </w:p>
    <w:p w14:paraId="35EC0EA5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财务对账：自主生成分渠道核销营收、商户成本、平台手续费台账，支撑月度结算</w:t>
      </w:r>
    </w:p>
    <w:p w14:paraId="4634589A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五、自研中台商户结算全流程（自主对账、自主结算）</w:t>
      </w:r>
      <w:bookmarkEnd w:id="14"/>
    </w:p>
    <w:p w14:paraId="41E25D87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资金归集</w:t>
      </w:r>
      <w:r>
        <w:rPr>
          <w:rFonts w:ascii="Arial" w:hAnsi="Arial" w:eastAsia="等线" w:cs="Arial"/>
          <w:sz w:val="22"/>
        </w:rPr>
        <w:t>：抖音、小红书、美团所有公域核销回款，全部直接结算至商场对公账户，无第三方资金截留</w:t>
      </w:r>
    </w:p>
    <w:p w14:paraId="632E3587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双台账对账</w:t>
      </w:r>
      <w:r>
        <w:rPr>
          <w:rFonts w:ascii="Arial" w:hAnsi="Arial" w:eastAsia="等线" w:cs="Arial"/>
          <w:sz w:val="22"/>
        </w:rPr>
        <w:t>：商场自研中台权威核销台账 VS 商户银豹带备注订单台账，以券码为唯一KEY人工核对，数据自主可控</w:t>
      </w:r>
    </w:p>
    <w:p w14:paraId="791C4643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自主核算</w:t>
      </w:r>
      <w:r>
        <w:rPr>
          <w:rFonts w:ascii="Arial" w:hAnsi="Arial" w:eastAsia="等线" w:cs="Arial"/>
          <w:sz w:val="22"/>
        </w:rPr>
        <w:t>：自研系统自动计算商户应付净额=门店渠道总核销额-商户营销成本-各平台官方手续费</w:t>
      </w:r>
    </w:p>
    <w:p w14:paraId="6E813B37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结算兑付</w:t>
      </w:r>
      <w:r>
        <w:rPr>
          <w:rFonts w:ascii="Arial" w:hAnsi="Arial" w:eastAsia="等线" w:cs="Arial"/>
          <w:sz w:val="22"/>
        </w:rPr>
        <w:t>：自主执行租金抵扣/对公转账两种结算方式，生成自研结算单，双方签字归档</w:t>
      </w:r>
    </w:p>
    <w:p w14:paraId="4937E019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六、自研替换第三方SaaS的核心优势（项目汇报核心亮点）</w:t>
      </w:r>
      <w:bookmarkEnd w:id="15"/>
    </w:p>
    <w:p w14:paraId="7448C80B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数据完全自主可控</w:t>
      </w:r>
      <w:r>
        <w:rPr>
          <w:rFonts w:ascii="Arial" w:hAnsi="Arial" w:eastAsia="等线" w:cs="Arial"/>
          <w:sz w:val="22"/>
        </w:rPr>
        <w:t>：所有会员、交易、核销、投放数据私有化存储，不再留存第三方厂商服务器，满足数据合规要求</w:t>
      </w:r>
    </w:p>
    <w:p w14:paraId="67C1DA7C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降本增效</w:t>
      </w:r>
      <w:r>
        <w:rPr>
          <w:rFonts w:ascii="Arial" w:hAnsi="Arial" w:eastAsia="等线" w:cs="Arial"/>
          <w:sz w:val="22"/>
        </w:rPr>
        <w:t>：彻底省去灵智数科等第三方每年高额SaaS订阅费、服务费、增值功能费</w:t>
      </w:r>
    </w:p>
    <w:p w14:paraId="47DEB5B9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业务灵活迭代</w:t>
      </w:r>
      <w:r>
        <w:rPr>
          <w:rFonts w:ascii="Arial" w:hAnsi="Arial" w:eastAsia="等线" w:cs="Arial"/>
          <w:sz w:val="22"/>
        </w:rPr>
        <w:t>：无需依赖第三方排期，商场可自主根据运营需求迭代功能、调整规则、适配平台接口更新</w:t>
      </w:r>
    </w:p>
    <w:p w14:paraId="61F8BBA3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权限完全自主</w:t>
      </w:r>
      <w:r>
        <w:rPr>
          <w:rFonts w:ascii="Arial" w:hAnsi="Arial" w:eastAsia="等线" w:cs="Arial"/>
          <w:sz w:val="22"/>
        </w:rPr>
        <w:t>：公域对接资质、授权、核销、结算全链路自主掌控，无第三方权限限制、无业务卡顿风险</w:t>
      </w:r>
    </w:p>
    <w:p w14:paraId="031E38B3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适配性更强</w:t>
      </w:r>
      <w:r>
        <w:rPr>
          <w:rFonts w:ascii="Arial" w:hAnsi="Arial" w:eastAsia="等线" w:cs="Arial"/>
          <w:sz w:val="22"/>
        </w:rPr>
        <w:t>：完全贴合商场自身银豹独立收银、租金抵扣结算的专属业务场景，无通用SaaS的冗余功能与适配短板</w:t>
      </w:r>
    </w:p>
    <w:p w14:paraId="0F7848CA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b/>
          <w:sz w:val="32"/>
        </w:rPr>
        <w:t>七、兜底保障机制（自研专属，</w:t>
      </w:r>
      <w:bookmarkStart w:id="17" w:name="_GoBack"/>
      <w:bookmarkEnd w:id="17"/>
      <w:r>
        <w:rPr>
          <w:rFonts w:ascii="Arial" w:hAnsi="Arial" w:eastAsia="等线" w:cs="Arial"/>
          <w:b/>
          <w:sz w:val="32"/>
        </w:rPr>
        <w:t>无第三方兜底漏洞）</w:t>
      </w:r>
      <w:bookmarkEnd w:id="16"/>
    </w:p>
    <w:p w14:paraId="28486BD1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断网兜底：自研核销终端支持离线登记，联网后批量同步中台，杜绝漏核销</w:t>
      </w:r>
    </w:p>
    <w:p w14:paraId="21CA77BE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异常兜底：自研系统自带失败重试、异常工单预警、重复核销拦截机制，自主处理平台接口波动问题</w:t>
      </w:r>
    </w:p>
    <w:p w14:paraId="203517F2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对账兜底：每日自研中台自动生成差异报表，运营当日核对修正，杜绝财务对账纠纷</w:t>
      </w:r>
    </w:p>
    <w:p w14:paraId="3041F97D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2B4BC1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95CF6E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">
    <w:nsid w:val="9C8AC8EF"/>
    <w:multiLevelType w:val="singleLevel"/>
    <w:tmpl w:val="9C8AC8E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">
    <w:nsid w:val="B0F1ACD9"/>
    <w:multiLevelType w:val="singleLevel"/>
    <w:tmpl w:val="B0F1ACD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">
    <w:nsid w:val="B53F3350"/>
    <w:multiLevelType w:val="singleLevel"/>
    <w:tmpl w:val="B53F33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BE923771"/>
    <w:multiLevelType w:val="singleLevel"/>
    <w:tmpl w:val="BE92377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4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5">
    <w:nsid w:val="C8879AEF"/>
    <w:multiLevelType w:val="singleLevel"/>
    <w:tmpl w:val="C8879AE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6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7">
    <w:nsid w:val="D7D140E4"/>
    <w:multiLevelType w:val="singleLevel"/>
    <w:tmpl w:val="D7D140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D7F9FE59"/>
    <w:multiLevelType w:val="singleLevel"/>
    <w:tmpl w:val="D7F9FE5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9">
    <w:nsid w:val="DCBA6B53"/>
    <w:multiLevelType w:val="singleLevel"/>
    <w:tmpl w:val="DCBA6B5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0">
    <w:nsid w:val="E093A4B0"/>
    <w:multiLevelType w:val="singleLevel"/>
    <w:tmpl w:val="E093A4B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1">
    <w:nsid w:val="F0E89278"/>
    <w:multiLevelType w:val="singleLevel"/>
    <w:tmpl w:val="F0E892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F4B5D9F5"/>
    <w:multiLevelType w:val="singleLevel"/>
    <w:tmpl w:val="F4B5D9F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3">
    <w:nsid w:val="F7735DC9"/>
    <w:multiLevelType w:val="singleLevel"/>
    <w:tmpl w:val="F7735DC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4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5">
    <w:nsid w:val="0248C179"/>
    <w:multiLevelType w:val="singleLevel"/>
    <w:tmpl w:val="0248C17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6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0709FD3E"/>
    <w:multiLevelType w:val="singleLevel"/>
    <w:tmpl w:val="0709FD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0CEF100B"/>
    <w:multiLevelType w:val="singleLevel"/>
    <w:tmpl w:val="0CEF10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0E640482"/>
    <w:multiLevelType w:val="singleLevel"/>
    <w:tmpl w:val="0E640482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30">
    <w:nsid w:val="1ACDE60F"/>
    <w:multiLevelType w:val="singleLevel"/>
    <w:tmpl w:val="1ACDE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1C257C7B"/>
    <w:multiLevelType w:val="singleLevel"/>
    <w:tmpl w:val="1C257C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23E97754"/>
    <w:multiLevelType w:val="singleLevel"/>
    <w:tmpl w:val="23E977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243FCF68"/>
    <w:multiLevelType w:val="singleLevel"/>
    <w:tmpl w:val="243FCF6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4">
    <w:nsid w:val="2470EC97"/>
    <w:multiLevelType w:val="singleLevel"/>
    <w:tmpl w:val="2470EC9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5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2A8F537B"/>
    <w:multiLevelType w:val="singleLevel"/>
    <w:tmpl w:val="2A8F537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7">
    <w:nsid w:val="30FC5B15"/>
    <w:multiLevelType w:val="singleLevel"/>
    <w:tmpl w:val="30FC5B15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8">
    <w:nsid w:val="322D85CA"/>
    <w:multiLevelType w:val="singleLevel"/>
    <w:tmpl w:val="322D85C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9">
    <w:nsid w:val="32A7AF2D"/>
    <w:multiLevelType w:val="singleLevel"/>
    <w:tmpl w:val="32A7AF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39A0D9AC"/>
    <w:multiLevelType w:val="singleLevel"/>
    <w:tmpl w:val="39A0D9AC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1">
    <w:nsid w:val="46A08BB8"/>
    <w:multiLevelType w:val="singleLevel"/>
    <w:tmpl w:val="46A08BB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2">
    <w:nsid w:val="4C1BAE26"/>
    <w:multiLevelType w:val="singleLevel"/>
    <w:tmpl w:val="4C1BAE2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3">
    <w:nsid w:val="4C3D7A74"/>
    <w:multiLevelType w:val="singleLevel"/>
    <w:tmpl w:val="4C3D7A7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4">
    <w:nsid w:val="4D4DC07F"/>
    <w:multiLevelType w:val="singleLevel"/>
    <w:tmpl w:val="4D4DC07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5">
    <w:nsid w:val="4D94DA66"/>
    <w:multiLevelType w:val="singleLevel"/>
    <w:tmpl w:val="4D94DA6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6">
    <w:nsid w:val="58765686"/>
    <w:multiLevelType w:val="singleLevel"/>
    <w:tmpl w:val="58765686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47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8">
    <w:nsid w:val="5A241D34"/>
    <w:multiLevelType w:val="singleLevel"/>
    <w:tmpl w:val="5A241D34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9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5FFFB1A7"/>
    <w:multiLevelType w:val="singleLevel"/>
    <w:tmpl w:val="5FFFB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60382F6E"/>
    <w:multiLevelType w:val="singleLevel"/>
    <w:tmpl w:val="60382F6E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52">
    <w:nsid w:val="629F7852"/>
    <w:multiLevelType w:val="singleLevel"/>
    <w:tmpl w:val="629F785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3">
    <w:nsid w:val="65CD0074"/>
    <w:multiLevelType w:val="singleLevel"/>
    <w:tmpl w:val="65CD007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4">
    <w:nsid w:val="72183CF9"/>
    <w:multiLevelType w:val="singleLevel"/>
    <w:tmpl w:val="72183CF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5">
    <w:nsid w:val="74C28B35"/>
    <w:multiLevelType w:val="singleLevel"/>
    <w:tmpl w:val="74C28B3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6">
    <w:nsid w:val="77ECEA79"/>
    <w:multiLevelType w:val="singleLevel"/>
    <w:tmpl w:val="77ECEA7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7">
    <w:nsid w:val="79AA4FA4"/>
    <w:multiLevelType w:val="singleLevel"/>
    <w:tmpl w:val="79AA4FA4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58">
    <w:nsid w:val="7C246926"/>
    <w:multiLevelType w:val="singleLevel"/>
    <w:tmpl w:val="7C24692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9">
    <w:nsid w:val="7DEC2089"/>
    <w:multiLevelType w:val="singleLevel"/>
    <w:tmpl w:val="7DEC2089"/>
    <w:lvl w:ilvl="0" w:tentative="0">
      <w:start w:val="1"/>
      <w:numFmt w:val="decimal"/>
      <w:lvlText w:val="%1."/>
      <w:lvlJc w:val="left"/>
      <w:rPr>
        <w:color w:val="3370FF"/>
      </w:rPr>
    </w:lvl>
  </w:abstractNum>
  <w:num w:numId="1">
    <w:abstractNumId w:val="24"/>
  </w:num>
  <w:num w:numId="2">
    <w:abstractNumId w:val="16"/>
  </w:num>
  <w:num w:numId="3">
    <w:abstractNumId w:val="47"/>
  </w:num>
  <w:num w:numId="4">
    <w:abstractNumId w:val="14"/>
  </w:num>
  <w:num w:numId="5">
    <w:abstractNumId w:val="10"/>
  </w:num>
  <w:num w:numId="6">
    <w:abstractNumId w:val="26"/>
  </w:num>
  <w:num w:numId="7">
    <w:abstractNumId w:val="35"/>
  </w:num>
  <w:num w:numId="8">
    <w:abstractNumId w:val="54"/>
  </w:num>
  <w:num w:numId="9">
    <w:abstractNumId w:val="25"/>
  </w:num>
  <w:num w:numId="10">
    <w:abstractNumId w:val="5"/>
  </w:num>
  <w:num w:numId="11">
    <w:abstractNumId w:val="36"/>
  </w:num>
  <w:num w:numId="12">
    <w:abstractNumId w:val="48"/>
  </w:num>
  <w:num w:numId="13">
    <w:abstractNumId w:val="15"/>
  </w:num>
  <w:num w:numId="14">
    <w:abstractNumId w:val="44"/>
  </w:num>
  <w:num w:numId="15">
    <w:abstractNumId w:val="22"/>
  </w:num>
  <w:num w:numId="16">
    <w:abstractNumId w:val="34"/>
  </w:num>
  <w:num w:numId="17">
    <w:abstractNumId w:val="19"/>
  </w:num>
  <w:num w:numId="18">
    <w:abstractNumId w:val="18"/>
  </w:num>
  <w:num w:numId="19">
    <w:abstractNumId w:val="7"/>
  </w:num>
  <w:num w:numId="20">
    <w:abstractNumId w:val="42"/>
  </w:num>
  <w:num w:numId="21">
    <w:abstractNumId w:val="51"/>
  </w:num>
  <w:num w:numId="22">
    <w:abstractNumId w:val="29"/>
  </w:num>
  <w:num w:numId="23">
    <w:abstractNumId w:val="41"/>
  </w:num>
  <w:num w:numId="24">
    <w:abstractNumId w:val="8"/>
  </w:num>
  <w:num w:numId="25">
    <w:abstractNumId w:val="58"/>
  </w:num>
  <w:num w:numId="26">
    <w:abstractNumId w:val="56"/>
  </w:num>
  <w:num w:numId="27">
    <w:abstractNumId w:val="13"/>
  </w:num>
  <w:num w:numId="28">
    <w:abstractNumId w:val="52"/>
  </w:num>
  <w:num w:numId="29">
    <w:abstractNumId w:val="6"/>
  </w:num>
  <w:num w:numId="30">
    <w:abstractNumId w:val="40"/>
  </w:num>
  <w:num w:numId="31">
    <w:abstractNumId w:val="2"/>
  </w:num>
  <w:num w:numId="32">
    <w:abstractNumId w:val="46"/>
  </w:num>
  <w:num w:numId="33">
    <w:abstractNumId w:val="59"/>
  </w:num>
  <w:num w:numId="34">
    <w:abstractNumId w:val="0"/>
  </w:num>
  <w:num w:numId="35">
    <w:abstractNumId w:val="33"/>
  </w:num>
  <w:num w:numId="36">
    <w:abstractNumId w:val="45"/>
  </w:num>
  <w:num w:numId="37">
    <w:abstractNumId w:val="23"/>
  </w:num>
  <w:num w:numId="38">
    <w:abstractNumId w:val="20"/>
  </w:num>
  <w:num w:numId="39">
    <w:abstractNumId w:val="37"/>
  </w:num>
  <w:num w:numId="40">
    <w:abstractNumId w:val="57"/>
  </w:num>
  <w:num w:numId="41">
    <w:abstractNumId w:val="12"/>
  </w:num>
  <w:num w:numId="42">
    <w:abstractNumId w:val="4"/>
  </w:num>
  <w:num w:numId="43">
    <w:abstractNumId w:val="11"/>
  </w:num>
  <w:num w:numId="44">
    <w:abstractNumId w:val="49"/>
  </w:num>
  <w:num w:numId="45">
    <w:abstractNumId w:val="1"/>
  </w:num>
  <w:num w:numId="46">
    <w:abstractNumId w:val="30"/>
  </w:num>
  <w:num w:numId="47">
    <w:abstractNumId w:val="3"/>
  </w:num>
  <w:num w:numId="48">
    <w:abstractNumId w:val="50"/>
  </w:num>
  <w:num w:numId="49">
    <w:abstractNumId w:val="55"/>
  </w:num>
  <w:num w:numId="50">
    <w:abstractNumId w:val="43"/>
  </w:num>
  <w:num w:numId="51">
    <w:abstractNumId w:val="38"/>
  </w:num>
  <w:num w:numId="52">
    <w:abstractNumId w:val="53"/>
  </w:num>
  <w:num w:numId="53">
    <w:abstractNumId w:val="27"/>
  </w:num>
  <w:num w:numId="54">
    <w:abstractNumId w:val="28"/>
  </w:num>
  <w:num w:numId="55">
    <w:abstractNumId w:val="17"/>
  </w:num>
  <w:num w:numId="56">
    <w:abstractNumId w:val="39"/>
  </w:num>
  <w:num w:numId="57">
    <w:abstractNumId w:val="31"/>
  </w:num>
  <w:num w:numId="58">
    <w:abstractNumId w:val="21"/>
  </w:num>
  <w:num w:numId="59">
    <w:abstractNumId w:val="32"/>
  </w:num>
  <w:num w:numId="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oNotDisplayPageBoundaries w:val="1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A2B4F2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2879</Words>
  <Characters>2988</Characters>
  <TotalTime>0</TotalTime>
  <ScaleCrop>false</ScaleCrop>
  <LinksUpToDate>false</LinksUpToDate>
  <CharactersWithSpaces>3012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2026-07-10T09:06:00Z</dcterms:created>
  <dc:creator>Apache POI</dc:creator>
  <cp:lastModifiedBy>八块腹肌</cp:lastModifiedBy>
  <dcterms:modified xsi:type="dcterms:W3CDTF">2026-07-10T09:07:14Z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{"Label":"1","ContentProducer":"001191110102MACQD9K64010000","ProduceID":"7660823209978219756","ReservedCode1":"","ContentPropagator":"","PropagateID":"","ReservedCode2":""}</vt:lpwstr>
  </property>
  <property fmtid="{D5CDD505-2E9C-101B-9397-08002B2CF9AE}" pid="3" name="KSOTemplateDocerSaveRecord">
    <vt:lpwstr>eyJoZGlkIjoiODAyYjRjMjFkZWQ5MTJlYTAwZjdhM2M0NTgwZTAyY2MiLCJ1c2VySWQiOiIxNTkxMDQ3ODg0In0=</vt:lpwstr>
  </property>
  <property fmtid="{D5CDD505-2E9C-101B-9397-08002B2CF9AE}" pid="4" name="KSOProductBuildVer">
    <vt:lpwstr>2052-12.1.0.26895</vt:lpwstr>
  </property>
  <property fmtid="{D5CDD505-2E9C-101B-9397-08002B2CF9AE}" pid="5" name="ICV">
    <vt:lpwstr>E283A7F6EEB142109A8438C963B7371B_12</vt:lpwstr>
  </property>
</Properties>
</file>