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10440"/>
        </w:tabs>
        <w:spacing w:after="30"/>
      </w:pPr>
      <w:r>
        <w:rPr>
          <w:rFonts w:ascii="Calibri" w:cs="Calibri" w:eastAsia="Calibri" w:hAnsi="Calibri"/>
          <w:b/>
          <w:bCs/>
          <w:i w:val="false"/>
          <w:iCs w:val="false"/>
          <w:color w:val="B08D4A"/>
          <w:spacing w:val="18"/>
          <w:sz w:val="14"/>
          <w:szCs w:val="14"/>
        </w:rPr>
        <w:t xml:space="preserve">GBUS 8496 · MACHINE LEARNING AND AI FOR BUSINESS · PROF. MICHAEL ALBERT · GROUP 11 · SEPTEMBER 8, 2026</w:t>
      </w:r>
      <w:r>
        <w:rPr>
          <w:rFonts w:ascii="Calibri" w:cs="Calibri" w:eastAsia="Calibri" w:hAnsi="Calibri"/>
          <w:sz w:val="14"/>
          <w:szCs w:val="14"/>
        </w:rPr>
        <w:tab/>
      </w:r>
      <w:hyperlink w:history="1" r:id="rIdsgacvwbvsmufg34zay63g">
        <w:r>
          <w:rPr>
            <w:rFonts w:ascii="Calibri" w:cs="Calibri" w:eastAsia="Calibri" w:hAnsi="Calibri"/>
            <w:b/>
            <w:bCs/>
            <w:i w:val="false"/>
            <w:iCs w:val="false"/>
            <w:color w:val="0B1F33"/>
            <w:sz w:val="15"/>
            <w:szCs w:val="15"/>
          </w:rPr>
          <w:t xml:space="preserve">↗ github.com/bakulbadwal/gbus8496-project</w:t>
        </w:r>
      </w:hyperlink>
    </w:p>
    <w:p>
      <w:pPr>
        <w:spacing w:after="10"/>
      </w:pPr>
      <w:r>
        <w:rPr>
          <w:rFonts w:ascii="Calibri" w:cs="Calibri" w:eastAsia="Calibri" w:hAnsi="Calibri"/>
          <w:b/>
          <w:bCs/>
          <w:i w:val="false"/>
          <w:iCs w:val="false"/>
          <w:color w:val="0B1F33"/>
          <w:sz w:val="40"/>
          <w:szCs w:val="40"/>
        </w:rPr>
        <w:t xml:space="preserve">Predicting the Second Gift</w:t>
      </w:r>
    </w:p>
    <w:p>
      <w:pPr>
        <w:pBdr>
          <w:bottom w:val="single" w:color="B08D4A" w:sz="8" w:space="3"/>
        </w:pBd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color w:val="5A5548"/>
          <w:sz w:val="22"/>
          <w:szCs w:val="22"/>
        </w:rPr>
        <w:t xml:space="preserve">Which first-time donors will give again, and which ones a small nonprofit should spend its scarce staff hours on.</w:t>
      </w:r>
    </w:p>
    <w:p>
      <w:pPr>
        <w:spacing w:after="80" w:line="238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B1F33"/>
          <w:sz w:val="20"/>
          <w:szCs w:val="20"/>
        </w:rPr>
        <w:t xml:space="preserve">Team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Bakul Badwal · Malorie Black · Reid Jacobson · Thadeus Knospe · Rodolfo Perez-Cortes Manrique</w:t>
      </w:r>
    </w:p>
    <w:p>
      <w:pPr>
        <w:pBdr>
          <w:bottom w:val="single" w:color="B08D4A" w:sz="4" w:space="1"/>
        </w:pBdr>
        <w:spacing w:after="30" w:before="100"/>
      </w:pPr>
      <w:r>
        <w:rPr>
          <w:rFonts w:ascii="Calibri" w:cs="Calibri" w:eastAsia="Calibri" w:hAnsi="Calibri"/>
          <w:b/>
          <w:bCs/>
          <w:i w:val="false"/>
          <w:iCs w:val="false"/>
          <w:color w:val="0B1F33"/>
          <w:sz w:val="21"/>
          <w:szCs w:val="21"/>
        </w:rPr>
        <w:t xml:space="preserve">1 · Problem and business application</w:t>
      </w:r>
    </w:p>
    <w:p>
      <w:pPr>
        <w:spacing w:after="60" w:line="238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Most nonprofits acquire a donor once and never hear from them again. The second gift is the highest-leverage moment in the donor lifecycle, and small organizations are the least equipped to work it. Our stakeholder is the development lead at a nonprofit with roughly a $500K budget and no data staff: each month she can personally follow up with only a fraction of first-time donors, and today she builds that list by hand from recency and gift size.</w:t>
      </w:r>
    </w:p>
    <w:p>
      <w:pPr>
        <w:spacing w:after="60" w:line="238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The decision is specific: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given a fixed outreach budget in staff hours, which first-time donors receive follow-up, and where does the cutoff sit? Our output is a ranked follow-up list with a recommended threshold and the expected dollars behind it. One of us founded GoGood Technologies, a donor-engagement platform serving exactly this customer, so real practitioners can check the output.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In practice: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the hand-built list becomes a scored one, and the budget question gets a number.</w:t>
      </w:r>
    </w:p>
    <w:p>
      <w:pPr>
        <w:pBdr>
          <w:bottom w:val="single" w:color="B08D4A" w:sz="4" w:space="1"/>
        </w:pBdr>
        <w:spacing w:after="30" w:before="100"/>
      </w:pPr>
      <w:r>
        <w:rPr>
          <w:rFonts w:ascii="Calibri" w:cs="Calibri" w:eastAsia="Calibri" w:hAnsi="Calibri"/>
          <w:b/>
          <w:bCs/>
          <w:i w:val="false"/>
          <w:iCs w:val="false"/>
          <w:color w:val="0B1F33"/>
          <w:sz w:val="21"/>
          <w:szCs w:val="21"/>
        </w:rPr>
        <w:t xml:space="preserve">2 · Dataset and source</w:t>
      </w:r>
    </w:p>
    <w:p>
      <w:pPr>
        <w:spacing w:after="60" w:line="238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DonorsChoose Open Data, United States, 2002–2019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 (ICPSR 37898, doi.org/10.3886/ICPSR37898.v1). Public-use files, free with a no-cost ICPSR account. Two files: Donations (11,377,479 records) and Projects (2,149,817), covering September 2002 to June 2019 with activity through December 2019. Donations carries DONOR_ID, so we reconstruct each donor's history and build our own label, plus amount, month, donor type, and matched, teacher-referred, and thank-you-packet flags. Two constraints accepted up front: dates are month-level, and there is no demographics file, so donor type is the only donor attribute.</w:t>
      </w:r>
    </w:p>
    <w:p>
      <w:pPr>
        <w:pBdr>
          <w:bottom w:val="single" w:color="B08D4A" w:sz="4" w:space="1"/>
        </w:pBdr>
        <w:spacing w:after="30" w:before="100"/>
      </w:pPr>
      <w:r>
        <w:rPr>
          <w:rFonts w:ascii="Calibri" w:cs="Calibri" w:eastAsia="Calibri" w:hAnsi="Calibri"/>
          <w:b/>
          <w:bCs/>
          <w:i w:val="false"/>
          <w:iCs w:val="false"/>
          <w:color w:val="0B1F33"/>
          <w:sz w:val="21"/>
          <w:szCs w:val="21"/>
        </w:rPr>
        <w:t xml:space="preserve">3 · What we will build</w:t>
      </w:r>
    </w:p>
    <w:p>
      <w:pPr>
        <w:pStyle w:val="ListParagraph"/>
        <w:numPr>
          <w:ilvl w:val="0"/>
          <w:numId w:val="2"/>
        </w:numPr>
        <w:spacing w:after="30" w:line="238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Label.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For each donor whose first recorded gift falls in the observation window: a second gift within 12 months? Only cohorts whose window closes before December 2019 are labeled.</w:t>
      </w:r>
    </w:p>
    <w:p>
      <w:pPr>
        <w:pStyle w:val="ListParagraph"/>
        <w:numPr>
          <w:ilvl w:val="0"/>
          <w:numId w:val="2"/>
        </w:numPr>
        <w:spacing w:after="30" w:line="238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Features.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Donation-side (amount, seasonality, matched, gift card, teacher-referred, donor type, thank-you packet) and project-side (subject, grade, cost, state). Fields that could post-date the second gift are checked for timing before use.</w:t>
      </w:r>
    </w:p>
    <w:p>
      <w:pPr>
        <w:pStyle w:val="ListParagraph"/>
        <w:numPr>
          <w:ilvl w:val="0"/>
          <w:numId w:val="2"/>
        </w:numPr>
        <w:spacing w:after="30" w:line="238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Split.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Time-based, never random: train on first-gift cohorts through 2016, hold out 2017 and 2018, observe outcomes through December 2019.</w:t>
      </w:r>
    </w:p>
    <w:p>
      <w:pPr>
        <w:pStyle w:val="ListParagraph"/>
        <w:numPr>
          <w:ilvl w:val="0"/>
          <w:numId w:val="2"/>
        </w:numPr>
        <w:spacing w:after="30" w:line="238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Decision layer.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Predicted probability and second-gift amount become expected value per contact, minus an explicit cost per contact in staff time; the threshold is derived from those payoffs, not tuned.</w:t>
      </w:r>
    </w:p>
    <w:p>
      <w:pPr>
        <w:pStyle w:val="ListParagraph"/>
        <w:numPr>
          <w:ilvl w:val="0"/>
          <w:numId w:val="2"/>
        </w:numPr>
        <w:spacing w:after="30" w:line="238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Cost at scale.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Scoring a year of first-time donors is a batch job on one machine, no API spend. The operating cost is the staff hours the threshold allocates, reported explicitly.</w:t>
      </w:r>
    </w:p>
    <w:p>
      <w:pPr>
        <w:pBdr>
          <w:bottom w:val="single" w:color="B08D4A" w:sz="4" w:space="1"/>
        </w:pBdr>
        <w:spacing w:after="30" w:before="100"/>
      </w:pPr>
      <w:r>
        <w:rPr>
          <w:rFonts w:ascii="Calibri" w:cs="Calibri" w:eastAsia="Calibri" w:hAnsi="Calibri"/>
          <w:b/>
          <w:bCs/>
          <w:i w:val="false"/>
          <w:iCs w:val="false"/>
          <w:color w:val="0B1F33"/>
          <w:sz w:val="21"/>
          <w:szCs w:val="21"/>
        </w:rPr>
        <w:t xml:space="preserve">4 · Evaluation — what we measure, against what ground truth</w:t>
      </w:r>
    </w:p>
    <w:p>
      <w:pPr>
        <w:spacing w:after="30" w:line="238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Ground truth is observed donor behavior in the held-out cohorts, not hand labels. Four measurements:</w:t>
      </w:r>
    </w:p>
    <w:p>
      <w:pPr>
        <w:pStyle w:val="ListParagraph"/>
        <w:numPr>
          <w:ilvl w:val="0"/>
          <w:numId w:val="2"/>
        </w:numPr>
        <w:spacing w:after="30" w:line="238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Discrimination and calibration.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PR-AUC because the class is imbalanced, plus a calibration curve: an uncalibrated score cannot support a threshold.</w:t>
      </w:r>
    </w:p>
    <w:p>
      <w:pPr>
        <w:pStyle w:val="ListParagraph"/>
        <w:numPr>
          <w:ilvl w:val="0"/>
          <w:numId w:val="2"/>
        </w:numPr>
        <w:spacing w:after="30" w:line="238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Honest baselines.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RFM, the recency-and-amount heuristic small nonprofits actually use, plus random targeting and contact-everyone. Business metric: net value retained per hour of outreach at a fixed budget. If the model does not beat RFM, that is the finding.</w:t>
      </w:r>
    </w:p>
    <w:p>
      <w:pPr>
        <w:pStyle w:val="ListParagraph"/>
        <w:numPr>
          <w:ilvl w:val="0"/>
          <w:numId w:val="2"/>
        </w:numPr>
        <w:spacing w:after="30" w:line="238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Does stewardship predict retention?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The thank-you-packet flag records a real post-gift action. We estimate its association with a second gift controlling for gift size; packets were not randomly assigned, so association, not cause.</w:t>
      </w:r>
    </w:p>
    <w:p>
      <w:pPr>
        <w:pStyle w:val="ListParagraph"/>
        <w:numPr>
          <w:ilvl w:val="0"/>
          <w:numId w:val="2"/>
        </w:numPr>
        <w:spacing w:after="30" w:line="238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Error analysis by cohort.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We expect the model to be weakest on donors with the thinnest history, the case the stakeholder cares about most.</w:t>
      </w:r>
    </w:p>
    <w:p>
      <w:pPr>
        <w:spacing w:after="30" w:line="238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Limitation we test rather than assume.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DonorsChoose donors are marketplace donors; small-nonprofit donors are relational. We test which signal survives: behavioral features versus platform-specific ones.</w:t>
      </w:r>
    </w:p>
    <w:p>
      <w:pPr>
        <w:pBdr>
          <w:bottom w:val="single" w:color="B08D4A" w:sz="4" w:space="1"/>
        </w:pBdr>
        <w:spacing w:after="30" w:before="100"/>
      </w:pPr>
      <w:r>
        <w:rPr>
          <w:rFonts w:ascii="Calibri" w:cs="Calibri" w:eastAsia="Calibri" w:hAnsi="Calibri"/>
          <w:b/>
          <w:bCs/>
          <w:i w:val="false"/>
          <w:iCs w:val="false"/>
          <w:color w:val="0B1F33"/>
          <w:sz w:val="21"/>
          <w:szCs w:val="21"/>
        </w:rPr>
        <w:t xml:space="preserve">5 · What we need from you</w:t>
      </w:r>
    </w:p>
    <w:p>
      <w:pPr>
        <w:pStyle w:val="ListParagraph"/>
        <w:numPr>
          <w:ilvl w:val="0"/>
          <w:numId w:val="2"/>
        </w:numPr>
        <w:spacing w:after="30" w:line="23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Confirmation that a well-supported negative finding against the RFM baseline is an acceptable result.</w:t>
      </w:r>
    </w:p>
    <w:p>
      <w:pPr>
        <w:pStyle w:val="ListParagraph"/>
        <w:numPr>
          <w:ilvl w:val="0"/>
          <w:numId w:val="2"/>
        </w:numPr>
        <w:spacing w:after="30" w:line="23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Guidance on ~13 GB on JupyterHub, or approval to use a stratified sample of donor cohorts.</w:t>
      </w:r>
    </w:p>
    <w:p>
      <w:pPr>
        <w:pStyle w:val="ListParagraph"/>
        <w:numPr>
          <w:ilvl w:val="0"/>
          <w:numId w:val="2"/>
        </w:numPr>
        <w:spacing w:after="0" w:line="23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Any concern about anchoring the framing to a company a team member founded.</w:t>
      </w:r>
    </w:p>
    <w:sectPr>
      <w:pgSz w:w="12240" w:h="15840" w:orient="portrait"/>
      <w:pgMar w:top="680" w:right="900" w:bottom="64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1E1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0B1F33"/>
      <w:u w:val="single" w:color="B08D4A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sgacvwbvsmufg34zay63g" Type="http://schemas.openxmlformats.org/officeDocument/2006/relationships/hyperlink" Target="https://github.com/bakulbadwal/gbus8496-project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2026-09-08T12:31:19.713Z</dcterms:created>
  <dcterms:modified xsi:type="dcterms:W3CDTF">2026-09-08T12:31:19.714Z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