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22222" w:sz="6" w:space="2"/>
        </w:pBdr>
        <w:spacing w:after="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Proposal: Predicting the Second Gift</w:t>
      </w:r>
    </w:p>
    <w:p>
      <w:pPr>
        <w:spacing w:after="20" w:line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GBUS 8496 Machine Learning and AI for Business · Prof. Michael Albert · Group 11 · September 8, 2026</w:t>
      </w:r>
    </w:p>
    <w:p>
      <w:pPr>
        <w:spacing w:after="2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Team: </w:t>
      </w:r>
      <w:r>
        <w:rPr>
          <w:rFonts w:ascii="Calibri" w:cs="Calibri" w:eastAsia="Calibri" w:hAnsi="Calibri"/>
          <w:sz w:val="22"/>
          <w:szCs w:val="22"/>
        </w:rPr>
        <w:t xml:space="preserve">Bakul Badwal · Malorie Black · Reid Jacobson · Thadeus Knospe · Rodolfo Perez-Cortes Manrique</w:t>
      </w:r>
    </w:p>
    <w:p>
      <w:pPr>
        <w:spacing w:after="6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Repository: </w:t>
      </w:r>
      <w:r>
        <w:rPr>
          <w:rFonts w:ascii="Calibri" w:cs="Calibri" w:eastAsia="Calibri" w:hAnsi="Calibri"/>
          <w:sz w:val="22"/>
          <w:szCs w:val="22"/>
        </w:rPr>
        <w:t xml:space="preserve">github.com/bakulbadwal/gbus8496-project — this proposal, the two fallback directions we considered, the data recipe, and the working notebooks as they are built.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Problem and business application</w:t>
      </w:r>
    </w:p>
    <w:p>
      <w:pPr>
        <w:spacing w:after="70" w:line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Most nonprofits acquire a donor once and never hear from them again. The highest-leverage moment in the donor lifecycle is the second gift, and the organizations least equipped to work it are small ones. Our stakeholder is the development lead at a nonprofit with roughly a $500K annual budget and no dedicated data staff. Each month she can personally follow up with only a fraction of the people who gave for the first time, and today she builds that list by hand from recency and gift size.</w:t>
      </w:r>
    </w:p>
    <w:p>
      <w:pPr>
        <w:spacing w:after="70" w:line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decision we support is specific: given a fixed outreach budget measured in staff hours, which first-time donors should receive follow-up, and where should the cutoff sit? Our output is a ranked, scored follow-up list with a recommended threshold and the expected dollars behind it. One of us founded GoGood Technologies, a volunteer and donor engagement platform serving exactly this customer, so we can validate the output against real practitioners.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Dataset and source</w:t>
      </w:r>
    </w:p>
    <w:p>
      <w:pPr>
        <w:spacing w:after="7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DonorsChoose Open Data, United States, 2002–2019</w:t>
      </w:r>
      <w:r>
        <w:rPr>
          <w:rFonts w:ascii="Calibri" w:cs="Calibri" w:eastAsia="Calibri" w:hAnsi="Calibri"/>
          <w:sz w:val="22"/>
          <w:szCs w:val="22"/>
        </w:rPr>
        <w:t xml:space="preserve"> (ICPSR 37898, https://doi.org/10.3886/ICPSR37898.v1). Public-use files; free, with a no-cost ICPSR account and no institutional membership required. We use two files: Donations (11,377,479 records) and Projects public-use data (2,149,817 records), covering projects posted September 2002 through June 2019 with activity through December 2019; record counts confirmed against the DOI registration. Donations carries DONOR_ID, so we can reconstruct each donor's giving history and build our own outcome label rather than inheriting someone else's. It also carries AMOUNT, CREATED_MONTH, DONOR_TYPE, PAYMENT_WAS_MATCHED, IS_TEACHER_REFERRED, and THANK_YOU_PACKET_MAILED. Two constraints we accept up front: dates are month-level, and there is no donor demographics file, so DONOR_TYPE is our only donor attribute.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we will build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second-gift model plus a decision layer on top of it.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Label. </w:t>
      </w:r>
      <w:r>
        <w:rPr>
          <w:rFonts w:ascii="Calibri" w:cs="Calibri" w:eastAsia="Calibri" w:hAnsi="Calibri"/>
          <w:sz w:val="22"/>
          <w:szCs w:val="22"/>
        </w:rPr>
        <w:t xml:space="preserve">For each donor whose first recorded donation falls in the observation window, did they give again within 12 months? Only cohorts whose 12-month window closes before December 2019 are labeled.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Features. </w:t>
      </w:r>
      <w:r>
        <w:rPr>
          <w:rFonts w:ascii="Calibri" w:cs="Calibri" w:eastAsia="Calibri" w:hAnsi="Calibri"/>
          <w:sz w:val="22"/>
          <w:szCs w:val="22"/>
        </w:rPr>
        <w:t xml:space="preserve">Donation-side (amount, month and seasonality, matched, campaign gift card, teacher-referred, donor type, thank-you packet mailed) and project-side (subject category, grade level, cost, school state).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Split. </w:t>
      </w:r>
      <w:r>
        <w:rPr>
          <w:rFonts w:ascii="Calibri" w:cs="Calibri" w:eastAsia="Calibri" w:hAnsi="Calibri"/>
          <w:sz w:val="22"/>
          <w:szCs w:val="22"/>
        </w:rPr>
        <w:t xml:space="preserve">Time-based, not random. Train on first-gift cohorts through 2016, hold out the 2017 and 2018 cohorts, and observe outcomes through December 2019. A random split would leak future information.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Decision layer. </w:t>
      </w:r>
      <w:r>
        <w:rPr>
          <w:rFonts w:ascii="Calibri" w:cs="Calibri" w:eastAsia="Calibri" w:hAnsi="Calibri"/>
          <w:sz w:val="22"/>
          <w:szCs w:val="22"/>
        </w:rPr>
        <w:t xml:space="preserve">Convert predicted probability and predicted second-gift amount into expected value per contact, subtract an explicit cost per contact in staff time, and derive the threshold from those payoffs rather than tuning it.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Evaluation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Our ground truth is observed donor behavior in the held-out cohorts, not hand labels. Four measurements: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Discrimination and calibration </w:t>
      </w:r>
      <w:r>
        <w:rPr>
          <w:rFonts w:ascii="Calibri" w:cs="Calibri" w:eastAsia="Calibri" w:hAnsi="Calibri"/>
          <w:sz w:val="22"/>
          <w:szCs w:val="22"/>
        </w:rPr>
        <w:t xml:space="preserve">on the held-out cohorts. PR-AUC because the class is imbalanced, plus a calibration curve, since an uncalibrated score cannot support a threshold recommendation.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Against honest baselines. </w:t>
      </w:r>
      <w:r>
        <w:rPr>
          <w:rFonts w:ascii="Calibri" w:cs="Calibri" w:eastAsia="Calibri" w:hAnsi="Calibri"/>
          <w:sz w:val="22"/>
          <w:szCs w:val="22"/>
        </w:rPr>
        <w:t xml:space="preserve">The baseline that matters is RFM, the recency-and-amount heuristic small nonprofits actually use, alongside random targeting and contact-everyone. The business metric is net value retained per hour of outreach at a fixed budget. If the model does not beat RFM, we report that as the finding.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Does stewardship predict retention? </w:t>
      </w:r>
      <w:r>
        <w:rPr>
          <w:rFonts w:ascii="Calibri" w:cs="Calibri" w:eastAsia="Calibri" w:hAnsi="Calibri"/>
          <w:sz w:val="22"/>
          <w:szCs w:val="22"/>
        </w:rPr>
        <w:t xml:space="preserve">THANK_YOU_PACKET_MAILED records a real post-gift action. We estimate its association with a second gift while controlling for gift size, and state plainly that packets were not randomly assigned, so this is association and not a causal effect.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Error analysis by cohort. </w:t>
      </w:r>
      <w:r>
        <w:rPr>
          <w:rFonts w:ascii="Calibri" w:cs="Calibri" w:eastAsia="Calibri" w:hAnsi="Calibri"/>
          <w:sz w:val="22"/>
          <w:szCs w:val="22"/>
        </w:rPr>
        <w:t xml:space="preserve">We expect the model to be weakest on donors with the thinnest history, which is precisely the case our stakeholder cares about most.</w:t>
      </w:r>
    </w:p>
    <w:p>
      <w:pPr>
        <w:spacing w:after="4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Limitation we will address head-on. </w:t>
      </w:r>
      <w:r>
        <w:rPr>
          <w:rFonts w:ascii="Calibri" w:cs="Calibri" w:eastAsia="Calibri" w:hAnsi="Calibri"/>
          <w:sz w:val="22"/>
          <w:szCs w:val="22"/>
        </w:rPr>
        <w:t xml:space="preserve">DonorsChoose donors are marketplace donors who often fund classrooms they have no prior relationship with; small-nonprofit donors are relational. Rather than assume the model transfers, we test which signal survives: behavioral features (likely to transfer) versus platform-specific ones (likely not).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we need from you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2"/>
          <w:szCs w:val="22"/>
        </w:rPr>
        <w:t xml:space="preserve">Confirmation that a well-supported negative finding against the RFM baseline is an acceptable result.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2"/>
          <w:szCs w:val="22"/>
        </w:rPr>
        <w:t xml:space="preserve">Guidance on working with roughly 13 GB on JupyterHub, or approval to use a stratified sample of donor cohorts.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2"/>
          <w:szCs w:val="22"/>
        </w:rPr>
        <w:t xml:space="preserve">Any concern about anchoring the framing to a company a team member founded.</w:t>
      </w:r>
    </w:p>
    <w:sectPr>
      <w:pgSz w:w="12240" w:h="15840" w:orient="portrait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2026-09-08T12:26:39.694Z</dcterms:created>
  <dcterms:modified xsi:type="dcterms:W3CDTF">2026-09-08T12:26:39.694Z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