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240" w:line="240" w:lineRule="auto"/>
        <w:rPr>
          <w:rFonts w:ascii="Times New Roman" w:cs="Times New Roman" w:eastAsia="Times New Roman" w:hAnsi="Times New Roman"/>
          <w:color w:val="fd5b0e"/>
          <w:sz w:val="32"/>
          <w:szCs w:val="32"/>
        </w:rPr>
      </w:pPr>
      <w:bookmarkStart w:colFirst="0" w:colLast="0" w:name="_pdtg2rvvkm1l" w:id="0"/>
      <w:bookmarkEnd w:id="0"/>
      <w:r w:rsidDel="00000000" w:rsidR="00000000" w:rsidRPr="00000000">
        <w:rPr>
          <w:rFonts w:ascii="Times New Roman" w:cs="Times New Roman" w:eastAsia="Times New Roman" w:hAnsi="Times New Roman"/>
          <w:color w:val="fd5b0e"/>
          <w:sz w:val="32"/>
          <w:szCs w:val="32"/>
          <w:rtl w:val="0"/>
        </w:rPr>
        <w:t xml:space="preserve">1. Company Overview</w:t>
      </w:r>
    </w:p>
    <w:p w:rsidR="00000000" w:rsidDel="00000000" w:rsidP="00000000" w:rsidRDefault="00000000" w:rsidRPr="00000000" w14:paraId="00000002">
      <w:pPr>
        <w:pStyle w:val="Heading3"/>
        <w:spacing w:after="0" w:before="40" w:line="240" w:lineRule="auto"/>
        <w:rPr>
          <w:rFonts w:ascii="Times New Roman" w:cs="Times New Roman" w:eastAsia="Times New Roman" w:hAnsi="Times New Roman"/>
          <w:b w:val="1"/>
          <w:bCs w:val="1"/>
          <w:color w:val="1f3863"/>
        </w:rPr>
      </w:pPr>
      <w:r w:rsidDel="00000000" w:rsidR="00000000" w:rsidRPr="00000000">
        <w:rPr>
          <w:rtl w:val="0"/>
        </w:rPr>
      </w:r>
    </w:p>
    <w:p w:rsidR="00000000" w:rsidDel="00000000" w:rsidP="00000000" w:rsidRDefault="00000000" w:rsidRPr="00000000" w14:paraId="00000003">
      <w:pPr>
        <w:pStyle w:val="Heading3"/>
        <w:spacing w:after="0" w:before="40" w:line="240" w:lineRule="auto"/>
        <w:rPr>
          <w:rFonts w:ascii="Times New Roman" w:cs="Times New Roman" w:eastAsia="Times New Roman" w:hAnsi="Times New Roman"/>
          <w:color w:val="1f3863"/>
          <w:sz w:val="20"/>
          <w:szCs w:val="20"/>
        </w:rPr>
      </w:pPr>
      <w:r w:rsidDel="00000000" w:rsidR="00000000" w:rsidRPr="00000000">
        <w:rPr>
          <w:rFonts w:ascii="Times New Roman" w:cs="Times New Roman" w:eastAsia="Times New Roman" w:hAnsi="Times New Roman"/>
          <w:b w:val="1"/>
          <w:bCs w:val="1"/>
          <w:color w:val="1f3863"/>
          <w:rtl w:val="0"/>
        </w:rPr>
        <w:t xml:space="preserve">1. Introduction</w:t>
      </w:r>
      <w:r w:rsidDel="00000000" w:rsidR="00000000" w:rsidRPr="00000000">
        <w:rPr>
          <w:rtl w:val="0"/>
        </w:rPr>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iMocha is a global leader in AI-powered skills intelligence and assessment, enabling organizations to adopt a skills-first approach to workforce development. iMocha has transformed from a talent assessment tool into a comprehensive solution for skills validation, matching, and inference. With over 300 global customers, including 15 Fortune 500 companies, iMocha's platform streamlines talent acquisition, optimizes skills development, and drives performance across various industries.</w:t>
      </w:r>
      <w:r w:rsidDel="00000000" w:rsidR="00000000" w:rsidRPr="00000000">
        <w:rPr>
          <w:rtl w:val="0"/>
        </w:rPr>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3"/>
        <w:spacing w:after="281" w:before="281" w:line="240" w:lineRule="auto"/>
        <w:rPr>
          <w:rFonts w:ascii="Times New Roman" w:cs="Times New Roman" w:eastAsia="Times New Roman" w:hAnsi="Times New Roman"/>
          <w:color w:val="1f3863"/>
          <w:sz w:val="24"/>
          <w:szCs w:val="24"/>
        </w:rPr>
      </w:pPr>
      <w:r w:rsidDel="00000000" w:rsidR="00000000" w:rsidRPr="00000000">
        <w:rPr>
          <w:rFonts w:ascii="Times New Roman" w:cs="Times New Roman" w:eastAsia="Times New Roman" w:hAnsi="Times New Roman"/>
          <w:b w:val="1"/>
          <w:bCs w:val="1"/>
          <w:color w:val="1f3863"/>
          <w:rtl w:val="0"/>
        </w:rPr>
        <w:t xml:space="preserve">2</w:t>
      </w:r>
      <w:r w:rsidDel="00000000" w:rsidR="00000000" w:rsidRPr="00000000">
        <w:rPr>
          <w:rFonts w:ascii="Times New Roman" w:cs="Times New Roman" w:eastAsia="Times New Roman" w:hAnsi="Times New Roman"/>
          <w:b w:val="1"/>
          <w:bCs w:val="1"/>
          <w:color w:val="1f3863"/>
          <w:rtl w:val="0"/>
        </w:rPr>
        <w:t xml:space="preserve">. Mission, Vision, and Core Values</w:t>
      </w:r>
      <w:r w:rsidDel="00000000" w:rsidR="00000000" w:rsidRPr="00000000">
        <w:rPr>
          <w:rtl w:val="0"/>
        </w:rPr>
      </w:r>
    </w:p>
    <w:p w:rsidR="00000000" w:rsidDel="00000000" w:rsidP="00000000" w:rsidRDefault="00000000" w:rsidRPr="00000000" w14:paraId="00000007">
      <w:pPr>
        <w:numPr>
          <w:ilvl w:val="0"/>
          <w:numId w:val="3"/>
        </w:numPr>
        <w:spacing w:before="240" w:line="240" w:lineRule="auto"/>
        <w:ind w:left="720" w:hanging="360"/>
        <w:rPr>
          <w:rFonts w:ascii="Poppins" w:cs="Poppins" w:eastAsia="Poppins" w:hAnsi="Poppins"/>
          <w:sz w:val="20"/>
          <w:szCs w:val="20"/>
        </w:rPr>
      </w:pPr>
      <w:r w:rsidDel="00000000" w:rsidR="00000000" w:rsidRPr="00000000">
        <w:rPr>
          <w:rFonts w:ascii="Times New Roman" w:cs="Times New Roman" w:eastAsia="Times New Roman" w:hAnsi="Times New Roman"/>
          <w:b w:val="1"/>
          <w:bCs w:val="1"/>
          <w:sz w:val="20"/>
          <w:szCs w:val="20"/>
          <w:rtl w:val="0"/>
        </w:rPr>
        <w:t xml:space="preserve">Mission</w:t>
      </w:r>
      <w:r w:rsidDel="00000000" w:rsidR="00000000" w:rsidRPr="00000000">
        <w:rPr>
          <w:rFonts w:ascii="Times New Roman" w:cs="Times New Roman" w:eastAsia="Times New Roman" w:hAnsi="Times New Roman"/>
          <w:sz w:val="20"/>
          <w:szCs w:val="20"/>
          <w:rtl w:val="0"/>
        </w:rPr>
        <w:t xml:space="preserve">: To empower organizations to adopt a skills-first approach to workforce development through AI-powered solutions for skills validation, matching, and inference. </w:t>
      </w:r>
    </w:p>
    <w:p w:rsidR="00000000" w:rsidDel="00000000" w:rsidP="00000000" w:rsidRDefault="00000000" w:rsidRPr="00000000" w14:paraId="00000008">
      <w:pPr>
        <w:numPr>
          <w:ilvl w:val="0"/>
          <w:numId w:val="3"/>
        </w:numPr>
        <w:spacing w:line="240" w:lineRule="auto"/>
        <w:ind w:left="720" w:hanging="360"/>
        <w:rPr>
          <w:rFonts w:ascii="Poppins" w:cs="Poppins" w:eastAsia="Poppins" w:hAnsi="Poppins"/>
          <w:sz w:val="20"/>
          <w:szCs w:val="20"/>
        </w:rPr>
      </w:pPr>
      <w:r w:rsidDel="00000000" w:rsidR="00000000" w:rsidRPr="00000000">
        <w:rPr>
          <w:rFonts w:ascii="Times New Roman" w:cs="Times New Roman" w:eastAsia="Times New Roman" w:hAnsi="Times New Roman"/>
          <w:b w:val="1"/>
          <w:bCs w:val="1"/>
          <w:sz w:val="20"/>
          <w:szCs w:val="20"/>
          <w:rtl w:val="0"/>
        </w:rPr>
        <w:t xml:space="preserve">Vision</w:t>
      </w:r>
      <w:r w:rsidDel="00000000" w:rsidR="00000000" w:rsidRPr="00000000">
        <w:rPr>
          <w:rFonts w:ascii="Times New Roman" w:cs="Times New Roman" w:eastAsia="Times New Roman" w:hAnsi="Times New Roman"/>
          <w:sz w:val="20"/>
          <w:szCs w:val="20"/>
          <w:rtl w:val="0"/>
        </w:rPr>
        <w:t xml:space="preserve">: To be the global leader in skills intelligence, transforming how organizations hire, develop, and manage talent. </w:t>
      </w:r>
    </w:p>
    <w:p w:rsidR="00000000" w:rsidDel="00000000" w:rsidP="00000000" w:rsidRDefault="00000000" w:rsidRPr="00000000" w14:paraId="00000009">
      <w:pPr>
        <w:numPr>
          <w:ilvl w:val="0"/>
          <w:numId w:val="3"/>
        </w:numPr>
        <w:spacing w:line="240" w:lineRule="auto"/>
        <w:ind w:left="720" w:hanging="360"/>
        <w:rPr>
          <w:rFonts w:ascii="Poppins" w:cs="Poppins" w:eastAsia="Poppins" w:hAnsi="Poppins"/>
          <w:sz w:val="20"/>
          <w:szCs w:val="20"/>
        </w:rPr>
      </w:pPr>
      <w:r w:rsidDel="00000000" w:rsidR="00000000" w:rsidRPr="00000000">
        <w:rPr>
          <w:rFonts w:ascii="Times New Roman" w:cs="Times New Roman" w:eastAsia="Times New Roman" w:hAnsi="Times New Roman"/>
          <w:b w:val="1"/>
          <w:bCs w:val="1"/>
          <w:sz w:val="20"/>
          <w:szCs w:val="20"/>
          <w:rtl w:val="0"/>
        </w:rPr>
        <w:t xml:space="preserve">Core Values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A">
      <w:pPr>
        <w:numPr>
          <w:ilvl w:val="1"/>
          <w:numId w:val="3"/>
        </w:numPr>
        <w:spacing w:line="240" w:lineRule="auto"/>
        <w:ind w:left="1440" w:hanging="360"/>
        <w:rPr>
          <w:rFonts w:ascii="Poppins" w:cs="Poppins" w:eastAsia="Poppins" w:hAnsi="Poppins"/>
          <w:sz w:val="20"/>
          <w:szCs w:val="20"/>
        </w:rPr>
      </w:pPr>
      <w:r w:rsidDel="00000000" w:rsidR="00000000" w:rsidRPr="00000000">
        <w:rPr>
          <w:rFonts w:ascii="Times New Roman" w:cs="Times New Roman" w:eastAsia="Times New Roman" w:hAnsi="Times New Roman"/>
          <w:b w:val="1"/>
          <w:bCs w:val="1"/>
          <w:sz w:val="20"/>
          <w:szCs w:val="20"/>
          <w:rtl w:val="0"/>
        </w:rPr>
        <w:t xml:space="preserve">Trust: </w:t>
      </w:r>
      <w:r w:rsidDel="00000000" w:rsidR="00000000" w:rsidRPr="00000000">
        <w:rPr>
          <w:rFonts w:ascii="Times New Roman" w:cs="Times New Roman" w:eastAsia="Times New Roman" w:hAnsi="Times New Roman"/>
          <w:sz w:val="20"/>
          <w:szCs w:val="20"/>
          <w:highlight w:val="white"/>
          <w:rtl w:val="0"/>
        </w:rPr>
        <w:t xml:space="preserve">We foster an environment of mutual respect and unshakable trust.</w:t>
      </w:r>
      <w:r w:rsidDel="00000000" w:rsidR="00000000" w:rsidRPr="00000000">
        <w:rPr>
          <w:rtl w:val="0"/>
        </w:rPr>
      </w:r>
    </w:p>
    <w:p w:rsidR="00000000" w:rsidDel="00000000" w:rsidP="00000000" w:rsidRDefault="00000000" w:rsidRPr="00000000" w14:paraId="0000000B">
      <w:pPr>
        <w:numPr>
          <w:ilvl w:val="1"/>
          <w:numId w:val="3"/>
        </w:numPr>
        <w:spacing w:line="240" w:lineRule="auto"/>
        <w:ind w:left="1440" w:hanging="360"/>
        <w:rPr>
          <w:rFonts w:ascii="Poppins" w:cs="Poppins" w:eastAsia="Poppins" w:hAnsi="Poppins"/>
          <w:sz w:val="20"/>
          <w:szCs w:val="20"/>
        </w:rPr>
      </w:pPr>
      <w:r w:rsidDel="00000000" w:rsidR="00000000" w:rsidRPr="00000000">
        <w:rPr>
          <w:rFonts w:ascii="Times New Roman" w:cs="Times New Roman" w:eastAsia="Times New Roman" w:hAnsi="Times New Roman"/>
          <w:b w:val="1"/>
          <w:bCs w:val="1"/>
          <w:sz w:val="20"/>
          <w:szCs w:val="20"/>
          <w:rtl w:val="0"/>
        </w:rPr>
        <w:t xml:space="preserve">Innovation</w:t>
      </w:r>
      <w:r w:rsidDel="00000000" w:rsidR="00000000" w:rsidRPr="00000000">
        <w:rPr>
          <w:rFonts w:ascii="Times New Roman" w:cs="Times New Roman" w:eastAsia="Times New Roman" w:hAnsi="Times New Roman"/>
          <w:sz w:val="20"/>
          <w:szCs w:val="20"/>
          <w:rtl w:val="0"/>
        </w:rPr>
        <w:t xml:space="preserve">: Continuously developing cutting-edge solutions to meet evolving workforce needs.</w:t>
      </w:r>
    </w:p>
    <w:p w:rsidR="00000000" w:rsidDel="00000000" w:rsidP="00000000" w:rsidRDefault="00000000" w:rsidRPr="00000000" w14:paraId="0000000C">
      <w:pPr>
        <w:numPr>
          <w:ilvl w:val="1"/>
          <w:numId w:val="3"/>
        </w:numPr>
        <w:spacing w:line="240" w:lineRule="auto"/>
        <w:ind w:left="1440" w:hanging="360"/>
        <w:rPr>
          <w:rFonts w:ascii="Poppins" w:cs="Poppins" w:eastAsia="Poppins" w:hAnsi="Poppins"/>
          <w:sz w:val="20"/>
          <w:szCs w:val="20"/>
        </w:rPr>
      </w:pPr>
      <w:r w:rsidDel="00000000" w:rsidR="00000000" w:rsidRPr="00000000">
        <w:rPr>
          <w:rFonts w:ascii="Times New Roman" w:cs="Times New Roman" w:eastAsia="Times New Roman" w:hAnsi="Times New Roman"/>
          <w:b w:val="1"/>
          <w:bCs w:val="1"/>
          <w:sz w:val="20"/>
          <w:szCs w:val="20"/>
          <w:rtl w:val="0"/>
        </w:rPr>
        <w:t xml:space="preserve">Customer-Centricity</w:t>
      </w:r>
      <w:r w:rsidDel="00000000" w:rsidR="00000000" w:rsidRPr="00000000">
        <w:rPr>
          <w:rFonts w:ascii="Times New Roman" w:cs="Times New Roman" w:eastAsia="Times New Roman" w:hAnsi="Times New Roman"/>
          <w:sz w:val="20"/>
          <w:szCs w:val="20"/>
          <w:rtl w:val="0"/>
        </w:rPr>
        <w:t xml:space="preserve">: Prioritizing client success and satisfaction.</w:t>
      </w:r>
    </w:p>
    <w:p w:rsidR="00000000" w:rsidDel="00000000" w:rsidP="00000000" w:rsidRDefault="00000000" w:rsidRPr="00000000" w14:paraId="0000000D">
      <w:pPr>
        <w:numPr>
          <w:ilvl w:val="1"/>
          <w:numId w:val="3"/>
        </w:numPr>
        <w:spacing w:after="240" w:line="240" w:lineRule="auto"/>
        <w:ind w:left="1440" w:hanging="360"/>
        <w:rPr>
          <w:rFonts w:ascii="Poppins" w:cs="Poppins" w:eastAsia="Poppins" w:hAnsi="Poppins"/>
          <w:sz w:val="20"/>
          <w:szCs w:val="20"/>
        </w:rPr>
      </w:pPr>
      <w:r w:rsidDel="00000000" w:rsidR="00000000" w:rsidRPr="00000000">
        <w:rPr>
          <w:rFonts w:ascii="Times New Roman" w:cs="Times New Roman" w:eastAsia="Times New Roman" w:hAnsi="Times New Roman"/>
          <w:b w:val="1"/>
          <w:bCs w:val="1"/>
          <w:sz w:val="20"/>
          <w:szCs w:val="20"/>
          <w:rtl w:val="0"/>
        </w:rPr>
        <w:t xml:space="preserve">Collaboration</w:t>
      </w:r>
      <w:r w:rsidDel="00000000" w:rsidR="00000000" w:rsidRPr="00000000">
        <w:rPr>
          <w:rFonts w:ascii="Times New Roman" w:cs="Times New Roman" w:eastAsia="Times New Roman" w:hAnsi="Times New Roman"/>
          <w:sz w:val="20"/>
          <w:szCs w:val="20"/>
          <w:rtl w:val="0"/>
        </w:rPr>
        <w:t xml:space="preserve">: Fostering teamwork and partnerships to drive collective growth. </w:t>
      </w:r>
    </w:p>
    <w:p w:rsidR="00000000" w:rsidDel="00000000" w:rsidP="00000000" w:rsidRDefault="00000000" w:rsidRPr="00000000" w14:paraId="0000000E">
      <w:pPr>
        <w:spacing w:after="240" w:line="24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Geographic Presence</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Headquarters:</w:t>
      </w:r>
      <w:r w:rsidDel="00000000" w:rsidR="00000000" w:rsidRPr="00000000">
        <w:rPr>
          <w:rFonts w:ascii="Times New Roman" w:cs="Times New Roman" w:eastAsia="Times New Roman" w:hAnsi="Times New Roman"/>
          <w:rtl w:val="0"/>
        </w:rPr>
        <w:t xml:space="preserve"> Delaware, USA</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Other Offices:</w:t>
      </w:r>
      <w:r w:rsidDel="00000000" w:rsidR="00000000" w:rsidRPr="00000000">
        <w:rPr>
          <w:rFonts w:ascii="Times New Roman" w:cs="Times New Roman" w:eastAsia="Times New Roman" w:hAnsi="Times New Roman"/>
          <w:rtl w:val="0"/>
        </w:rPr>
        <w:t xml:space="preserve"> Pune, Maharashtra, India</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Data Centers:</w:t>
      </w:r>
      <w:r w:rsidDel="00000000" w:rsidR="00000000" w:rsidRPr="00000000">
        <w:rPr>
          <w:rFonts w:ascii="Times New Roman" w:cs="Times New Roman" w:eastAsia="Times New Roman" w:hAnsi="Times New Roman"/>
          <w:rtl w:val="0"/>
        </w:rPr>
        <w:t xml:space="preserve"> Primary data center in Virginia, USA with a real-time backup in Ireland, North Europe.</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Platform Access:</w:t>
      </w:r>
      <w:r w:rsidDel="00000000" w:rsidR="00000000" w:rsidRPr="00000000">
        <w:rPr>
          <w:rFonts w:ascii="Times New Roman" w:cs="Times New Roman" w:eastAsia="Times New Roman" w:hAnsi="Times New Roman"/>
          <w:rtl w:val="0"/>
        </w:rPr>
        <w:t xml:space="preserve"> Global (US, India, Lithuania, London, Netherlands, France, and more)</w:t>
        <w:br w:type="textWrapping"/>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m6c00jodq0d" w:id="1"/>
      <w:bookmarkEnd w:id="1"/>
      <w:r w:rsidDel="00000000" w:rsidR="00000000" w:rsidRPr="00000000">
        <w:rPr>
          <w:rFonts w:ascii="Times New Roman" w:cs="Times New Roman" w:eastAsia="Times New Roman" w:hAnsi="Times New Roman"/>
          <w:b w:val="1"/>
          <w:bCs w:val="1"/>
          <w:color w:val="000000"/>
          <w:sz w:val="26"/>
          <w:szCs w:val="26"/>
          <w:rtl w:val="0"/>
        </w:rPr>
        <w:t xml:space="preserve">Team Size/Scale</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employs approximately 289 people worldwide as of July 2025, with the core team of 200+ concentrated in Pune to drive engineering, content creation, and customer success. The Pune office supports a scalable structure, including a dedicated community like iMochaWorks (51-200 members focused on coding and assessments). This mid-sized scale enables agile growth, with roles spanning AI development, HR tech, and global sales, fostering a collaborative culture with ESOPs for top performers.</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Industries Served</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caters to a diverse range of industries through its skills intelligence platform, withdevelopment team curating 2,500+ assessments tailored for tech and non-tech roles. Key sectors include:</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IT Services &amp; Consulting</w:t>
      </w:r>
      <w:r w:rsidDel="00000000" w:rsidR="00000000" w:rsidRPr="00000000">
        <w:rPr>
          <w:rFonts w:ascii="Times New Roman" w:cs="Times New Roman" w:eastAsia="Times New Roman" w:hAnsi="Times New Roman"/>
          <w:rtl w:val="0"/>
        </w:rPr>
        <w:t xml:space="preserve">: Capgemini, Deloitte, Hexaware, Fujitsu, EY.</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Finance &amp; Fintech</w:t>
      </w:r>
      <w:r w:rsidDel="00000000" w:rsidR="00000000" w:rsidRPr="00000000">
        <w:rPr>
          <w:rFonts w:ascii="Times New Roman" w:cs="Times New Roman" w:eastAsia="Times New Roman" w:hAnsi="Times New Roman"/>
          <w:rtl w:val="0"/>
        </w:rPr>
        <w:t xml:space="preserve">: PayPal, Vanguard, ABSA SA, Coupa.</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Telecom &amp; Tech</w:t>
      </w:r>
      <w:r w:rsidDel="00000000" w:rsidR="00000000" w:rsidRPr="00000000">
        <w:rPr>
          <w:rFonts w:ascii="Times New Roman" w:cs="Times New Roman" w:eastAsia="Times New Roman" w:hAnsi="Times New Roman"/>
          <w:rtl w:val="0"/>
        </w:rPr>
        <w:t xml:space="preserve">: Ericsson, Telstra, Daimler.</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Retail &amp; Consumer Goods</w:t>
      </w:r>
      <w:r w:rsidDel="00000000" w:rsidR="00000000" w:rsidRPr="00000000">
        <w:rPr>
          <w:rFonts w:ascii="Times New Roman" w:cs="Times New Roman" w:eastAsia="Times New Roman" w:hAnsi="Times New Roman"/>
          <w:rtl w:val="0"/>
        </w:rPr>
        <w:t xml:space="preserve">: L’Oréal, 7-Eleven.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Automotive &amp; Manufacturing</w:t>
      </w:r>
      <w:r w:rsidDel="00000000" w:rsidR="00000000" w:rsidRPr="00000000">
        <w:rPr>
          <w:rFonts w:ascii="Times New Roman" w:cs="Times New Roman" w:eastAsia="Times New Roman" w:hAnsi="Times New Roman"/>
          <w:rtl w:val="0"/>
        </w:rPr>
        <w:t xml:space="preserve">: Aston Martin, Bajaj Auto, Schneider Electric, .</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Public Sector &amp; Others</w:t>
      </w:r>
      <w:r w:rsidDel="00000000" w:rsidR="00000000" w:rsidRPr="00000000">
        <w:rPr>
          <w:rFonts w:ascii="Times New Roman" w:cs="Times New Roman" w:eastAsia="Times New Roman" w:hAnsi="Times New Roman"/>
          <w:rtl w:val="0"/>
        </w:rPr>
        <w:t xml:space="preserve">: 9 UN Agencies, Avaya, Revature</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nyabspvrqud" w:id="2"/>
      <w:bookmarkEnd w:id="2"/>
      <w:r w:rsidDel="00000000" w:rsidR="00000000" w:rsidRPr="00000000">
        <w:rPr>
          <w:rFonts w:ascii="Times New Roman" w:cs="Times New Roman" w:eastAsia="Times New Roman" w:hAnsi="Times New Roman"/>
          <w:b w:val="1"/>
          <w:bCs w:val="1"/>
          <w:color w:val="000000"/>
          <w:sz w:val="26"/>
          <w:szCs w:val="26"/>
          <w:rtl w:val="0"/>
        </w:rPr>
        <w:t xml:space="preserve">Awards/Recognition</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iMocha's Pune-based innovations in AI-driven skills intelligence have garnered prestigious global accolades, underscoring its leadership in transforming talent management through scalable, skills-first solutions. These recognitions highlight the platform's impact on workforce agility, bias reduction, and enterprise scalability, as validated by industry analysts and partners. Key achievements include:</w:t>
      </w:r>
    </w:p>
    <w:p w:rsidR="00000000" w:rsidDel="00000000" w:rsidP="00000000" w:rsidRDefault="00000000" w:rsidRPr="00000000" w14:paraId="0000002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Gold at Brandon Hall Group HCM Excellence Awards 2025</w:t>
      </w:r>
      <w:r w:rsidDel="00000000" w:rsidR="00000000" w:rsidRPr="00000000">
        <w:rPr>
          <w:rFonts w:ascii="Times New Roman" w:cs="Times New Roman" w:eastAsia="Times New Roman" w:hAnsi="Times New Roman"/>
          <w:rtl w:val="0"/>
        </w:rPr>
        <w:t xml:space="preserve">: Awarded in the category of "Best Talent Management Technology Implementation" for the entry titled "Building a Scalable, Skills-Driven Workforce." This honor celebrates iMocha's Skills Intelligence Platform's role in enabling organizations to benchmark, upskill, and redeploy talent efficiently, reducing skill gaps by up to 50% and accelerating hiring by 40%. The award was proudly presented by Brandon Hall Group, with signatures from Chief Executive Officer Mike Cooke and Chief Operating Officer Rachel Cooke, affirming iMocha's excellence in HCM technology deployment for Fortune 500 clients like Capgemini and PayPal.</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SAP SuccessFactors Top 10 Partner</w:t>
      </w:r>
      <w:r w:rsidDel="00000000" w:rsidR="00000000" w:rsidRPr="00000000">
        <w:rPr>
          <w:rFonts w:ascii="Times New Roman" w:cs="Times New Roman" w:eastAsia="Times New Roman" w:hAnsi="Times New Roman"/>
          <w:rtl w:val="0"/>
        </w:rPr>
        <w:t xml:space="preserve">: As a premier partner in SAP's ecosystem, iMocha ranks among the Top 10 certified integrations for SuccessFactors, particularly in Talent Intelligence Hub and recruiting modules. This status enables seamless, bi-directional data flow for skills-based hiring, learning, and mobility, empowering SAP users to leverage iMocha's 10,000+ assessments and AI insights directly within their HR workflows—driving unified talent strategies for global enterprises in IT, finance, and telecom.</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Workday Silver Partner</w:t>
      </w:r>
      <w:r w:rsidDel="00000000" w:rsidR="00000000" w:rsidRPr="00000000">
        <w:rPr>
          <w:rFonts w:ascii="Times New Roman" w:cs="Times New Roman" w:eastAsia="Times New Roman" w:hAnsi="Times New Roman"/>
          <w:rtl w:val="0"/>
        </w:rPr>
        <w:t xml:space="preserve">: iMocha's Silver Partner designation with Workday underscores its deep integration capabilities for skills intelligence within Workday's HCM suite, including Skills Cloud and Learning modules. This partnership facilitates real-time skill mapping, gap analysis, and personalized development paths, helping Workday customers build adaptive workforces amid rapid technological shifts, with Pune's engineering teams ensuring robust, scalable implementations for clients like Ericsson and L’Oréal.</w:t>
      </w:r>
    </w:p>
    <w:p w:rsidR="00000000" w:rsidDel="00000000" w:rsidP="00000000" w:rsidRDefault="00000000" w:rsidRPr="00000000" w14:paraId="0000002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Endorsement from Microsoft CEO Satya Nadella</w:t>
      </w:r>
      <w:r w:rsidDel="00000000" w:rsidR="00000000" w:rsidRPr="00000000">
        <w:rPr>
          <w:rFonts w:ascii="Times New Roman" w:cs="Times New Roman" w:eastAsia="Times New Roman" w:hAnsi="Times New Roman"/>
          <w:rtl w:val="0"/>
        </w:rPr>
        <w:t xml:space="preserve">: In a notable Fireside Chat, Satya Nadella praised iMocha's AI-powered platform for its efficiency in talent transformation, highlighting how it aligns with Microsoft's vision for skills-first economies. Nadella emphasized the platform's role in "unlocking human potential through intelligent skills validation," enabling organizations to close the projected 85 million global skills gap by 2030. This endorsement, featured prominently on iMocha's resources, validates the Pune innovation hub's contributions to AI-driven HR tech, fostering collaborations like integrations with Microsoft Azure for tools such as AI-EnglishPro™.</w:t>
      </w:r>
    </w:p>
    <w:p w:rsidR="00000000" w:rsidDel="00000000" w:rsidP="00000000" w:rsidRDefault="00000000" w:rsidRPr="00000000" w14:paraId="00000024">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3sas4h1x54e" w:id="3"/>
      <w:bookmarkEnd w:id="3"/>
      <w:r w:rsidDel="00000000" w:rsidR="00000000" w:rsidRPr="00000000">
        <w:rPr>
          <w:rFonts w:ascii="Times New Roman" w:cs="Times New Roman" w:eastAsia="Times New Roman" w:hAnsi="Times New Roman"/>
          <w:b w:val="1"/>
          <w:bCs w:val="1"/>
          <w:color w:val="000000"/>
          <w:sz w:val="26"/>
          <w:szCs w:val="26"/>
          <w:rtl w:val="0"/>
        </w:rPr>
        <w:t xml:space="preserve">Key Differentiators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stands out with its AI-powered Skills Intelligence Cloud™, differentiating through:</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Vast, Validated Library</w:t>
      </w:r>
      <w:r w:rsidDel="00000000" w:rsidR="00000000" w:rsidRPr="00000000">
        <w:rPr>
          <w:rFonts w:ascii="Times New Roman" w:cs="Times New Roman" w:eastAsia="Times New Roman" w:hAnsi="Times New Roman"/>
          <w:rtl w:val="0"/>
        </w:rPr>
        <w:t xml:space="preserve">: 10,000+ enriched taxonomies, 3,000+ skills ontologies, and 10,000+ assessments (including 50+ next-gen skills like AI/ML), far exceeding competitors in depth and customization.</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End-to-End Skills-First Ecosystem</w:t>
      </w:r>
      <w:r w:rsidDel="00000000" w:rsidR="00000000" w:rsidRPr="00000000">
        <w:rPr>
          <w:rFonts w:ascii="Times New Roman" w:cs="Times New Roman" w:eastAsia="Times New Roman" w:hAnsi="Times New Roman"/>
          <w:rtl w:val="0"/>
        </w:rPr>
        <w:t xml:space="preserve">: Real-time skills validation, gap analysis, upskilling/reskilling programs, workforce planning, and integrations (e.g., SAP SuccessFactors, ATS/LMS), enabling seamless talent lifecycle management.</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Advanced AI &amp; Proctoring</w:t>
      </w:r>
      <w:r w:rsidDel="00000000" w:rsidR="00000000" w:rsidRPr="00000000">
        <w:rPr>
          <w:rFonts w:ascii="Times New Roman" w:cs="Times New Roman" w:eastAsia="Times New Roman" w:hAnsi="Times New Roman"/>
          <w:rtl w:val="0"/>
        </w:rPr>
        <w:t xml:space="preserve">: Patented AI for inference/matching, faceless proctoring, coding simulators, and predictive analytics—reducing hiring time by 40%+ while ensuring bias-free, reliable results.</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Enterprise Scalability &amp; Insights</w:t>
      </w:r>
      <w:r w:rsidDel="00000000" w:rsidR="00000000" w:rsidRPr="00000000">
        <w:rPr>
          <w:rFonts w:ascii="Times New Roman" w:cs="Times New Roman" w:eastAsia="Times New Roman" w:hAnsi="Times New Roman"/>
          <w:rtl w:val="0"/>
        </w:rPr>
        <w:t xml:space="preserve">: Partnerships (e.g., PwC, Bryq) and data-driven benchmarking for Fortune 500s, with Pune's expert coders curating content for global accuracy. iMocha as a holistic layer atop existing HR tech, focusing on actionable skills data over traditional resumes.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Products and Services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delivers a suite of AI-powered products and services designed to transform talent acquisition, development, and management into a skills-first ecosystem. At the core is its Skills Intelligence Platform, which integrates advanced assessments, analytics, and integrations to provide actionable insights into workforce capabilities. These offerings are built on patented AI technologies, supporting over 3,000 assessments across technical, functional, and soft skills, with features like real-time proctoring, multilingual support (50+ languages), and seamless compatibility with existing HR systems. By leveraging data from diverse sources such as assessments, resumes, and performance feedback iMocha enables organizations to reduce hiring time by up to 40%, minimize biases, and foster inclusive, data-driven decisions for global teams.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Skills Intelligence Platform</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iMocha's Skills Intelligence Platform is an enterprise-grade, AI-driven layer that overlays existing HR tech stacks to deliver real-time, validated skills data for smarter workforce decisions. It empowers organizations to assess, analyze, and activate skills across the talent lifecycle—from hiring and upskilling to internal mobility and succession planning—addressing the global skills gap projected to impact 85 million jobs by 2030. The platform supports multi-channel validation by aggregating proficiency data from iMocha's proprietary skills assessments, self-reported or manager feedback, multi-rater evaluations, and AI-inferred insights derived from resumes, HR systems, and behavioral data. Key capabilities include predictive analytics for skill evolution, role-fit matching using natural language processing (NLP), and career pathing algorithms that forecast gaps and recommend personalized development paths. For instance, it enables benchmarking of primary, secondary, and soft skills against industry standards, providing qualitative insights for compensation planning, rewards, and strategic workforce optimization. Integrated with tools like ATS and LMS, it ensures scalability for enterprises in IT, finance, telecom, and beyond, driving up to 65% faster interview processes and enhanced ROI on learning programs.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Talent Acquisition / Skill Assessments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iMocha's Skill Assessments form the foundation of its ecosystem, offering over 10,000 ready-to-use and fully customizable evaluations that span 1,500+ skills across technical domains (e.g., coding, data science, AI/ML), functional areas (e.g., finance, HR), and soft skills (e.g., leadership, communication). These assessments incorporate 15+ question types, including MCQs, multiple-answer questions (MAQs), fill-in-the-blanks, whiteboard challenges, audio/video responses, and AI-LogicBox pseudo-coding for bias-free problem-solving evaluation. Designed with EEOC guidelines in mind, they minimize cheating through intelligent proctoring (e.g., window, image, and video monitoring) and deliver instant, automated scoring with detailed reports on proficiency levels, strengths, and gaps. Organizations can bulk-upload custom questions or leverage expert-curated libraries to create role-specific tests, supporting asynchronous interviews and global scalability. This results in 40%+ reductions in time-to-hire, improved candidate experience via accessible formats, and data-driven upskilling programs that align talent with business needs, as evidenced by clients like Capgemini assessing thousands of employees for niche competencies.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Coding Simulators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iMocha's Coding Simulators provide a browser-based, real-time environment for hands-on coding assessments, replicating actual development scenarios to evaluate logic, efficiency, and code quality without setup hassles. Supporting over 35 programming languages—including Python, Java, C++, JavaScript, SQL, C, and frameworks like React and .NET—the platform features 4,000+ questions with multiple test cases, default code stubs, IntelliSense, and compilers for 25+ languages. Candidates can write, execute, and debug code live, with AI-driven analysis detecting plagiarism, assessing robustness (e.g., edge cases, maintainability), and generating CodeReplay videos for line-by-line reviewer insights. Features like AI-LogicBox enable pseudo-code challenges to test problem-solving sans syntax barriers, while live coding interviews facilitate collaborative sessions. This tool cuts evaluation time by automating scoring and supports diverse hiring for junior to senior roles, helping teams like those at Ericsson identify top developers 30% faster while ensuring fair, skill-focused outcomes.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AI-EnglishPro™</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AI-EnglishPro™ is iMocha's innovative, AI-powered tool for evaluating business English proficiency, aligned with the globally recognized CEFR (Common European Framework of Reference for Languages) standards to ensure unbiased, scalable assessments for customer-facing and global roles. Powered by Microsoft Azure's NLP and speech processing models, it analyzes Listening, Speaking, Reading, and Writing (LSRW) across quantitative parameters like vocabulary richness, oral fluency, grammar accuracy, readability, and pronunciation intelligibility—focusing on contextual business communication rather than native accents to promote diversity. Candidates receive automated, detailed reports with CEFR-graded scores, comparative benchmarks, and actionable feedback, including section-wise breakdowns (e.g., comprehension of accents, tones, and lexical linking). Pre-configured settings include proctoring options and customizable weightages, with fixed defaults for standard LSRW tests. This tool has transformed hiring for non-native speakers, enabling organizations like L’Oréal to build inclusive teams, reduce bias in evaluations, and create targeted training plans based on proficiency gaps, all while integrating seamlessly into broader skill assessments.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Skills Intelligence Cloud Features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iMocha's Skills Intelligence Cloud™ is a comprehensive, AI-enabled repository and analytics engine that unifies fragmented skills data into a dynamic, skills-first ecosystem. It leverages patented technologies for building employee profiles, organizational inventories, and predictive models, supporting sectors like IT, banking, and telecom with deep taxonomies for 200+ roles. Features include real-time reporting, customizable dashboards, and integrations for seamless data flow, enabling 360° visibility into workforce capabilities and strategic alignment. Key components are outlined below:</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Skills Inventory: A centralized, dynamic repository that aggregates and maintains a holistic view of employee skills from multiple sources, including assessments, HRIS data, and self-inputs. Updated in real-time via AI enrichment, it unlocks hidden talent pools, supports redeployment, and facilitates agile workforce planning by tracking proficiency across functions and domains.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Skills Taxonomy &amp; Ontology: A structured, industry-specific framework mapping 2,000+ skills into hierarchical classifications and relational ontologies, including adjacencies, clusters, and career pathing models. AI-enhanced for consistency, it enables precise skill categorization, job architecture building, and benchmarking against market intelligence, empowering organizations to standardize evaluations and align talent with evolving business needs.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Skill Gap Analysis: AI-driven diagnostics that identify discrepancies between current workforce skills and future requirements, using predictive algorithms to highlight deficiencies in primary, secondary, and soft skills. It generates targeted recommendations for upskilling, reskilling, and training ROI measurement, reducing gaps by up to 50% and supporting proactive talent development across global teams.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Skills Matching &amp; Benchmarking: Advanced matching engine that aligns employee or candidate skills with job roles, projects, or opportunities using NLP and machine learning, while benchmarking performance against internal goals and industry standards. It accelerates internal mobility, succession planning, and hiring by surfacing skill-fit talent, with features like role-fit scores and predictive deployment insights for faster, smarter decisions.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Executive Dashboards: Intuitive, real-time visualizations providing C-suite leaders with multidimensional skills metrics, such as proficiency heatmaps, trend forecasts, and ROI trackers. Customizable for strategic overviews, they support data-driven decisions on budgeting, rewards, and growth initiatives, integrating with tools like SAP for holistic talent narratives.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Unique Selling Proposition (USP)</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sets itself apart in the SkillsTech landscape as the world's largest AI-powered skills intelligence platform, emphasizing validated, actionable data over traditional resumes to drive skills-first transformations. Its patented ecosystem—combining the most extensive library with seamless integrations and predictive AI—enables enterprises to hire 40% faster, close skill gaps efficiently, and optimize talent at scale, as recognized by Everest Group and Brandon Hall Awards. Core differentiators include:</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Largest Skill Assessment Library: Boasting 3,000+ expert-curated assessments across technical, functional, and soft skills, with support for 35+ coding languages (e.g., Python, Java, SQL) and 15+ question types (MCQ, MAQ, coding simulations, video interviews, AI-LogicBox). This vast, customizable repository ensures role-specific precision, covering emerging areas like AI/ML and 100,000+ total questions for unbiased, global evaluations.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AI-Powered Skills Insights: Harnessing advanced AI for inference, matching, and analytics, it transforms unstructured data into high-impact intelligence—delivering predictive gap forecasts, personalized upskilling paths, and real-time benchmarking to enable smarter hiring, development, and planning. Features like faceless proctoring and code quality reports ensure reliability, reducing mis-hires and boosting productivity for Fortune 500 clients.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Integration with SAP SuccessFactors: As a premier SAP Store partner, iMocha's Skills Intelligence Cloud™ seamlessly embeds into SAP SuccessFactors (Recruiting, Learning, Talent Intelligence Hub) and SAP Fieldglass for total talent acquisition—covering full-time and contingent workers. This bi-directional sync automates skills data flow, enhances opportunity marketplaces, and powers skills-based career development, enabling unified workflows for recruitment, L&amp;D, and mobility in SAP ecosystems.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