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770F" w14:textId="77777777" w:rsidR="00B77C85" w:rsidRDefault="00781A4D">
      <w:pPr>
        <w:spacing w:after="160"/>
      </w:pPr>
      <w:r>
        <w:rPr>
          <w:b/>
          <w:bCs/>
          <w:sz w:val="56"/>
          <w:szCs w:val="56"/>
        </w:rPr>
        <w:t>Living Well Within a Fixed Constraint</w:t>
      </w:r>
    </w:p>
    <w:p w14:paraId="7AF67710" w14:textId="77777777" w:rsidR="00B77C85" w:rsidRDefault="00781A4D">
      <w:pPr>
        <w:spacing w:after="400"/>
      </w:pPr>
      <w:r>
        <w:rPr>
          <w:i/>
          <w:iCs/>
          <w:color w:val="555555"/>
          <w:sz w:val="24"/>
          <w:szCs w:val="24"/>
        </w:rPr>
        <w:t>Lifestyle Optimization in Sickle Cell Disease and β-Thalassemia: A Systematic Review of Evidence for an India-Specific Protocol</w:t>
      </w:r>
    </w:p>
    <w:p w14:paraId="7AF67711" w14:textId="77777777" w:rsidR="00B77C85" w:rsidRDefault="00B77C85">
      <w:pPr>
        <w:pBdr>
          <w:bottom w:val="single" w:sz="4" w:space="1" w:color="CCCCCC"/>
        </w:pBdr>
        <w:spacing w:before="240" w:after="240"/>
      </w:pPr>
    </w:p>
    <w:p w14:paraId="7AF67712" w14:textId="77777777" w:rsidR="00B77C85" w:rsidRDefault="00B77C85">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77C85" w14:paraId="7AF67715"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F67713" w14:textId="77777777" w:rsidR="00B77C85" w:rsidRDefault="00781A4D">
            <w:pPr>
              <w:spacing w:before="60" w:after="60"/>
            </w:pPr>
            <w:r>
              <w:rPr>
                <w:b/>
                <w:bCs/>
                <w:color w:val="555555"/>
                <w:sz w:val="18"/>
                <w:szCs w:val="18"/>
              </w:rPr>
              <w:t>Type</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F67714" w14:textId="77777777" w:rsidR="00B77C85" w:rsidRDefault="00781A4D">
            <w:pPr>
              <w:spacing w:before="60" w:after="60"/>
            </w:pPr>
            <w:r>
              <w:rPr>
                <w:sz w:val="18"/>
                <w:szCs w:val="18"/>
              </w:rPr>
              <w:t>Narrative Review with Protocol Synthesis</w:t>
            </w:r>
          </w:p>
        </w:tc>
      </w:tr>
      <w:tr w:rsidR="00B77C85" w14:paraId="7AF67718"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F67716" w14:textId="77777777" w:rsidR="00B77C85" w:rsidRDefault="00781A4D">
            <w:pPr>
              <w:spacing w:before="60" w:after="60"/>
            </w:pPr>
            <w:r>
              <w:rPr>
                <w:b/>
                <w:bCs/>
                <w:color w:val="555555"/>
                <w:sz w:val="18"/>
                <w:szCs w:val="18"/>
              </w:rPr>
              <w:t>Focus</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F67717" w14:textId="77777777" w:rsidR="00B77C85" w:rsidRDefault="00781A4D">
            <w:pPr>
              <w:spacing w:before="60" w:after="60"/>
            </w:pPr>
            <w:r>
              <w:rPr>
                <w:sz w:val="18"/>
                <w:szCs w:val="18"/>
              </w:rPr>
              <w:t>Sickle Cell Disease (SCD) · β-Thalassemia</w:t>
            </w:r>
          </w:p>
        </w:tc>
      </w:tr>
      <w:tr w:rsidR="00B77C85" w14:paraId="7AF6771B"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F67719" w14:textId="77777777" w:rsidR="00B77C85" w:rsidRDefault="00781A4D">
            <w:pPr>
              <w:spacing w:before="60" w:after="60"/>
            </w:pPr>
            <w:r>
              <w:rPr>
                <w:b/>
                <w:bCs/>
                <w:color w:val="555555"/>
                <w:sz w:val="18"/>
                <w:szCs w:val="18"/>
              </w:rPr>
              <w:t>Population</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F6771A" w14:textId="77777777" w:rsidR="00B77C85" w:rsidRDefault="00781A4D">
            <w:pPr>
              <w:spacing w:before="60" w:after="60"/>
            </w:pPr>
            <w:r>
              <w:rPr>
                <w:sz w:val="18"/>
                <w:szCs w:val="18"/>
              </w:rPr>
              <w:t>Indian context — tribal, rural, and urban</w:t>
            </w:r>
          </w:p>
        </w:tc>
      </w:tr>
      <w:tr w:rsidR="00B77C85" w14:paraId="7AF6771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F6771C" w14:textId="77777777" w:rsidR="00B77C85" w:rsidRDefault="00781A4D">
            <w:pPr>
              <w:spacing w:before="60" w:after="60"/>
            </w:pPr>
            <w:r>
              <w:rPr>
                <w:b/>
                <w:bCs/>
                <w:color w:val="555555"/>
                <w:sz w:val="18"/>
                <w:szCs w:val="18"/>
              </w:rPr>
              <w:t>Evidence base</w:t>
            </w:r>
          </w:p>
        </w:tc>
        <w:tc>
          <w:tcPr>
            <w:tcW w:w="71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AF6771D" w14:textId="77777777" w:rsidR="00B77C85" w:rsidRDefault="00781A4D">
            <w:pPr>
              <w:spacing w:before="60" w:after="60"/>
            </w:pPr>
            <w:r>
              <w:rPr>
                <w:sz w:val="18"/>
                <w:szCs w:val="18"/>
              </w:rPr>
              <w:t>Peer-reviewed literature · NHM/TIF/ICMR guidelines · Clinical trials</w:t>
            </w:r>
          </w:p>
        </w:tc>
      </w:tr>
    </w:tbl>
    <w:p w14:paraId="7AF6771F" w14:textId="77777777" w:rsidR="00B77C85" w:rsidRDefault="00B77C85">
      <w:pPr>
        <w:spacing w:before="120" w:after="120"/>
      </w:pPr>
    </w:p>
    <w:p w14:paraId="7AF67720" w14:textId="77777777" w:rsidR="00B77C85" w:rsidRDefault="00B77C85">
      <w:pPr>
        <w:pBdr>
          <w:bottom w:val="single" w:sz="4" w:space="1" w:color="CCCCCC"/>
        </w:pBdr>
        <w:spacing w:before="240" w:after="240"/>
      </w:pPr>
    </w:p>
    <w:p w14:paraId="7AF67721" w14:textId="77777777" w:rsidR="00B77C85" w:rsidRDefault="00B77C85">
      <w:pPr>
        <w:spacing w:before="80" w:after="80"/>
      </w:pPr>
    </w:p>
    <w:p w14:paraId="7AF67722" w14:textId="77777777" w:rsidR="00B77C85" w:rsidRDefault="00781A4D">
      <w:pPr>
        <w:spacing w:before="240" w:after="120"/>
      </w:pPr>
      <w:r>
        <w:rPr>
          <w:b/>
          <w:bCs/>
          <w:sz w:val="28"/>
          <w:szCs w:val="28"/>
        </w:rP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7C85" w14:paraId="7AF6772C"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7F4EE"/>
            <w:tcMar>
              <w:top w:w="200" w:type="dxa"/>
              <w:left w:w="280" w:type="dxa"/>
              <w:bottom w:w="200" w:type="dxa"/>
              <w:right w:w="280" w:type="dxa"/>
            </w:tcMar>
          </w:tcPr>
          <w:p w14:paraId="7AF67723" w14:textId="2950490E" w:rsidR="00B77C85" w:rsidRDefault="00781A4D">
            <w:pPr>
              <w:spacing w:before="100" w:after="100" w:line="320" w:lineRule="auto"/>
            </w:pPr>
            <w:r>
              <w:rPr>
                <w:b/>
                <w:bCs/>
              </w:rPr>
              <w:t>Background.</w:t>
            </w:r>
            <w:r>
              <w:t xml:space="preserve"> Sickle cell disease and β-thalassemia are monogenic </w:t>
            </w:r>
            <w:r w:rsidR="005B77B1">
              <w:t>haemoglobin</w:t>
            </w:r>
            <w:r>
              <w:t xml:space="preserve"> disorders whose real-world burden extends far beyond the primary mutation. Their severity is shaped dynamically by nutrition, movement, sleep, hydration, infection exposure, stress physiology, and the structural realities of poverty and healthcare access in India.</w:t>
            </w:r>
          </w:p>
          <w:p w14:paraId="7AF67724" w14:textId="77777777" w:rsidR="00B77C85" w:rsidRDefault="00B77C85">
            <w:pPr>
              <w:spacing w:before="40" w:after="40"/>
            </w:pPr>
          </w:p>
          <w:p w14:paraId="7AF67725" w14:textId="5414294F" w:rsidR="00B77C85" w:rsidRDefault="00781A4D">
            <w:pPr>
              <w:spacing w:before="100" w:after="100" w:line="320" w:lineRule="auto"/>
            </w:pPr>
            <w:r>
              <w:rPr>
                <w:b/>
                <w:bCs/>
              </w:rPr>
              <w:t>Purpose.</w:t>
            </w:r>
            <w:r>
              <w:t xml:space="preserve"> This review synthesizes the current scientific evidence on lifestyle interventions in both </w:t>
            </w:r>
            <w:proofErr w:type="gramStart"/>
            <w:r>
              <w:t xml:space="preserve">conditions </w:t>
            </w:r>
            <w:r w:rsidR="005B77B1">
              <w:t>,</w:t>
            </w:r>
            <w:proofErr w:type="gramEnd"/>
            <w:r w:rsidR="005B77B1">
              <w:t xml:space="preserve"> </w:t>
            </w:r>
            <w:r>
              <w:t>grounding each recommendation in pathophysiology, calibrating it to Indian dietary ecosystems and infrastructure gradients, and differentiating rigorously between the two diseases wherever their management diverges.</w:t>
            </w:r>
          </w:p>
          <w:p w14:paraId="7AF67726" w14:textId="77777777" w:rsidR="00B77C85" w:rsidRDefault="00B77C85">
            <w:pPr>
              <w:spacing w:before="40" w:after="40"/>
            </w:pPr>
          </w:p>
          <w:p w14:paraId="7AF67727" w14:textId="77777777" w:rsidR="00B77C85" w:rsidRDefault="00781A4D">
            <w:pPr>
              <w:spacing w:before="100" w:after="100" w:line="320" w:lineRule="auto"/>
            </w:pPr>
            <w:r>
              <w:rPr>
                <w:b/>
                <w:bCs/>
              </w:rPr>
              <w:t>Approach.</w:t>
            </w:r>
            <w:r>
              <w:t xml:space="preserve"> We treat these conditions as constraint-optimization problems. The mutation is fixed. Everything in the space between that genetic constraint and a person's lived outcome is modifiable — and that is the space this review occupies.</w:t>
            </w:r>
          </w:p>
          <w:p w14:paraId="7AF67728" w14:textId="77777777" w:rsidR="00B77C85" w:rsidRDefault="00B77C85">
            <w:pPr>
              <w:spacing w:before="40" w:after="40"/>
            </w:pPr>
          </w:p>
          <w:p w14:paraId="7AF67729" w14:textId="77777777" w:rsidR="00B77C85" w:rsidRDefault="00781A4D">
            <w:pPr>
              <w:spacing w:before="100" w:after="100" w:line="320" w:lineRule="auto"/>
            </w:pPr>
            <w:r>
              <w:rPr>
                <w:b/>
                <w:bCs/>
              </w:rPr>
              <w:lastRenderedPageBreak/>
              <w:t>Synthesis.</w:t>
            </w:r>
            <w:r>
              <w:t xml:space="preserve"> The evidence supports a layered protocol: dietary patterns anchored in Indian staples, a dose-response exercise framework calibrated to disease phase, circadian architecture for pain and energy regulation, and a </w:t>
            </w:r>
            <w:proofErr w:type="spellStart"/>
            <w:r>
              <w:t>behavioral</w:t>
            </w:r>
            <w:proofErr w:type="spellEnd"/>
            <w:r>
              <w:t xml:space="preserve"> design model suited to real Indian lives. Confidence is graded explicitly throughout.</w:t>
            </w:r>
          </w:p>
          <w:p w14:paraId="7AF6772A" w14:textId="77777777" w:rsidR="00B77C85" w:rsidRDefault="00B77C85">
            <w:pPr>
              <w:spacing w:before="40" w:after="40"/>
            </w:pPr>
          </w:p>
          <w:p w14:paraId="7AF6772B" w14:textId="77777777" w:rsidR="00B77C85" w:rsidRDefault="00781A4D">
            <w:pPr>
              <w:spacing w:before="100" w:after="100" w:line="320" w:lineRule="auto"/>
            </w:pPr>
            <w:r>
              <w:rPr>
                <w:b/>
                <w:bCs/>
              </w:rPr>
              <w:t>Conclusion.</w:t>
            </w:r>
            <w:r>
              <w:t xml:space="preserve"> The gap between what the evidence now supports and what most patients in India actually receive is large, preventable, and costly in suffering. This review attempts to close it.</w:t>
            </w:r>
          </w:p>
        </w:tc>
      </w:tr>
    </w:tbl>
    <w:p w14:paraId="7AF6772D" w14:textId="77777777" w:rsidR="00B77C85" w:rsidRDefault="00B77C85">
      <w:pPr>
        <w:spacing w:before="160" w:after="80"/>
      </w:pPr>
    </w:p>
    <w:p w14:paraId="7AF6772E" w14:textId="77777777" w:rsidR="00B77C85" w:rsidRDefault="00781A4D">
      <w:pPr>
        <w:pBdr>
          <w:bottom w:val="single" w:sz="8" w:space="4" w:color="9A7B2F"/>
        </w:pBdr>
        <w:spacing w:before="560" w:after="120"/>
      </w:pPr>
      <w:r>
        <w:rPr>
          <w:b/>
          <w:bCs/>
          <w:sz w:val="36"/>
          <w:szCs w:val="36"/>
        </w:rPr>
        <w:t>1. Introduction</w:t>
      </w:r>
    </w:p>
    <w:p w14:paraId="7AF6772F" w14:textId="45319F56" w:rsidR="00B77C85" w:rsidRDefault="00781A4D">
      <w:pPr>
        <w:spacing w:before="120" w:after="160" w:line="340" w:lineRule="auto"/>
      </w:pPr>
      <w:r>
        <w:t xml:space="preserve">Most people — patients, families, and often clinicians — carry a mental model of these diseases as primarily blood problems. The </w:t>
      </w:r>
      <w:proofErr w:type="spellStart"/>
      <w:proofErr w:type="gramStart"/>
      <w:r w:rsidR="00BC5036">
        <w:t>heamoglobin</w:t>
      </w:r>
      <w:proofErr w:type="spellEnd"/>
      <w:r w:rsidR="00BC5036">
        <w:t xml:space="preserve"> </w:t>
      </w:r>
      <w:r>
        <w:t xml:space="preserve"> is</w:t>
      </w:r>
      <w:proofErr w:type="gramEnd"/>
      <w:r>
        <w:t xml:space="preserve"> defective. Manage the crises. Survive the transfusion cycle. That frame is not wrong, but it is radically incomplete, and incomplete frames produce incomplete care.</w:t>
      </w:r>
    </w:p>
    <w:p w14:paraId="7AF67730" w14:textId="77777777" w:rsidR="00B77C85" w:rsidRDefault="00781A4D">
      <w:pPr>
        <w:pBdr>
          <w:left w:val="thick" w:sz="16" w:space="14" w:color="9A7B2F"/>
        </w:pBdr>
        <w:spacing w:before="280" w:after="280" w:line="360" w:lineRule="auto"/>
        <w:ind w:left="720" w:right="480"/>
      </w:pPr>
      <w:r>
        <w:rPr>
          <w:i/>
          <w:iCs/>
          <w:color w:val="9A7B2F"/>
        </w:rPr>
        <w:t>The mutation is the boundary condition, not the outcome. Everything between the gene and the lived life is still a variable.</w:t>
      </w:r>
    </w:p>
    <w:p w14:paraId="7AF67731" w14:textId="77777777" w:rsidR="00B77C85" w:rsidRDefault="00781A4D">
      <w:pPr>
        <w:spacing w:before="120" w:after="160" w:line="340" w:lineRule="auto"/>
      </w:pPr>
      <w:r>
        <w:t>Sickle cell disease (SCD) and β-thalassemia are among the most prevalent monogenic disorders globally, with India carrying a disproportionate burden of both. India's SCD load is concentrated predominantly in tribal populations across Madhya Pradesh, Chhattisgarh, Maharashtra, Odisha, Gujarat, and Jharkhand, with carrier prevalence ranging from 1 to 40 percent in affected tribal groups.</w:t>
      </w:r>
      <w:r>
        <w:rPr>
          <w:color w:val="555555"/>
          <w:sz w:val="16"/>
          <w:szCs w:val="16"/>
          <w:vertAlign w:val="superscript"/>
        </w:rPr>
        <w:t xml:space="preserve"> [1,25,26]</w:t>
      </w:r>
    </w:p>
    <w:p w14:paraId="7AF67732" w14:textId="77777777" w:rsidR="00B77C85" w:rsidRDefault="00781A4D">
      <w:pPr>
        <w:spacing w:before="120" w:after="160" w:line="340" w:lineRule="auto"/>
      </w:pPr>
      <w:r>
        <w:t>β-thalassemia is distributed more broadly, with elevated prevalence in Sindhi, Gujarati, Punjabi, and Bengali communities and significant Muslim subpopulations, contributing meaningfully to the global thalassemia major birth burden.</w:t>
      </w:r>
      <w:r>
        <w:rPr>
          <w:color w:val="555555"/>
          <w:sz w:val="16"/>
          <w:szCs w:val="16"/>
          <w:vertAlign w:val="superscript"/>
        </w:rPr>
        <w:t xml:space="preserve"> [2,28,29]</w:t>
      </w:r>
    </w:p>
    <w:p w14:paraId="7AF67733" w14:textId="5BAE039E" w:rsidR="00B77C85" w:rsidRDefault="00781A4D">
      <w:pPr>
        <w:spacing w:before="120" w:after="160" w:line="340" w:lineRule="auto"/>
      </w:pPr>
      <w:r>
        <w:t xml:space="preserve">The National Sickle Cell </w:t>
      </w:r>
      <w:r w:rsidR="00BC5036">
        <w:t>Anaemia</w:t>
      </w:r>
      <w:r>
        <w:t xml:space="preserve"> Elimination Mission, launched in 2023, represents a structural commitment toward tribal screening, hydroxyurea access, and community </w:t>
      </w:r>
      <w:r w:rsidR="00BC5036">
        <w:t>counselling</w:t>
      </w:r>
      <w:r>
        <w:t>. What it does not yet provide — in sufficient depth or specificity — is a lifestyle protocol grounded in pathophysiology and calibrated to Indian reality. That is what this review constructs.</w:t>
      </w:r>
    </w:p>
    <w:p w14:paraId="7AF67734" w14:textId="77777777" w:rsidR="00B77C85" w:rsidRDefault="00781A4D">
      <w:pPr>
        <w:spacing w:before="120" w:after="160" w:line="340" w:lineRule="auto"/>
      </w:pPr>
      <w:r>
        <w:lastRenderedPageBreak/>
        <w:t>The method here is constraint-based design: take the mutation as fixed, map every downstream biological node that daily life can reach, then engineer recommendations that operate efficiently within those constraints. The result is not generic health advice. It is precision guidance for a fragile biological system.</w:t>
      </w:r>
    </w:p>
    <w:p w14:paraId="7AF67735" w14:textId="08A45BFF" w:rsidR="00B77C85" w:rsidRDefault="00781A4D">
      <w:pPr>
        <w:spacing w:before="120" w:after="160" w:line="340" w:lineRule="auto"/>
      </w:pPr>
      <w:r>
        <w:t xml:space="preserve">This review is organized as follows: Section 2 establishes the biological ground truth. Section 3 </w:t>
      </w:r>
      <w:r w:rsidR="00BC5036">
        <w:t>analyses</w:t>
      </w:r>
      <w:r>
        <w:t xml:space="preserve"> the Indian context as an active variable. Section 4 maps the evidence landscape with explicit confidence grading. Sections 5 through 9 construct the protocol layers — nutrition, movement, daily architecture, monitoring, and </w:t>
      </w:r>
      <w:r w:rsidR="00BC5036">
        <w:t>behavioural</w:t>
      </w:r>
      <w:r>
        <w:t xml:space="preserve"> design. Section 10 addresses lifecycle considerations. Section 11 synthesizes a minimum viable protocol.</w:t>
      </w:r>
    </w:p>
    <w:p w14:paraId="7AF67736" w14:textId="77777777" w:rsidR="00B77C85" w:rsidRDefault="00B77C85">
      <w:pPr>
        <w:spacing w:before="80" w:after="80"/>
      </w:pPr>
    </w:p>
    <w:p w14:paraId="7AF67737" w14:textId="77777777" w:rsidR="00B77C85" w:rsidRDefault="00781A4D">
      <w:pPr>
        <w:pBdr>
          <w:bottom w:val="single" w:sz="8" w:space="4" w:color="9A7B2F"/>
        </w:pBdr>
        <w:spacing w:before="560" w:after="120"/>
      </w:pPr>
      <w:r>
        <w:rPr>
          <w:b/>
          <w:bCs/>
          <w:sz w:val="36"/>
          <w:szCs w:val="36"/>
        </w:rPr>
        <w:t>2. Pathophysiology: The Biology You Need to Actually Understand</w:t>
      </w:r>
    </w:p>
    <w:p w14:paraId="7AF67738" w14:textId="77777777" w:rsidR="00B77C85" w:rsidRDefault="00781A4D">
      <w:pPr>
        <w:spacing w:before="120" w:after="160" w:line="340" w:lineRule="auto"/>
      </w:pPr>
      <w:r>
        <w:t>Standard clinical summaries describe these conditions accurately but statically — a list of mutations, a list of complications. What is more useful for protocol design is understanding the cascade: where damage enters, how it propagates, where it is modifiable, and crucially where the two diseases diverge rather than overlap.</w:t>
      </w:r>
    </w:p>
    <w:p w14:paraId="7AF67739" w14:textId="77777777" w:rsidR="00B77C85" w:rsidRDefault="00781A4D">
      <w:pPr>
        <w:spacing w:before="400" w:after="100"/>
      </w:pPr>
      <w:r>
        <w:rPr>
          <w:b/>
          <w:bCs/>
          <w:sz w:val="28"/>
          <w:szCs w:val="28"/>
        </w:rPr>
        <w:t>2.1 Sickle Cell Disease: A Dynamic Cascade</w:t>
      </w:r>
    </w:p>
    <w:p w14:paraId="7AF6773A" w14:textId="6182C9AF" w:rsidR="00B77C85" w:rsidRDefault="00781A4D">
      <w:pPr>
        <w:spacing w:before="120" w:after="160" w:line="340" w:lineRule="auto"/>
      </w:pPr>
      <w:r>
        <w:t xml:space="preserve">SCD arises from a single amino acid substitution in β-globin (Glu6Val, GAG→GTG), producing </w:t>
      </w:r>
      <w:r w:rsidR="00BC5036">
        <w:t>haemoglobin S.</w:t>
      </w:r>
      <w:r>
        <w:t xml:space="preserve"> Under deoxygenation, HbS polymerizes into rigid </w:t>
      </w:r>
      <w:proofErr w:type="spellStart"/>
      <w:r>
        <w:t>fibers</w:t>
      </w:r>
      <w:proofErr w:type="spellEnd"/>
      <w:r>
        <w:t xml:space="preserve"> that distort red blood cells into the sickle shape. This is not a one-time event — it is a reversible, dynamic cycle, and repeated sickling-unsickling damages cell membranes, dehydrates cells, and produces irreversibly sickled cells with markedly shortened lifespan.</w:t>
      </w:r>
      <w:r>
        <w:rPr>
          <w:color w:val="555555"/>
          <w:sz w:val="16"/>
          <w:szCs w:val="16"/>
          <w:vertAlign w:val="superscript"/>
        </w:rPr>
        <w:t xml:space="preserve"> [4,5]</w:t>
      </w:r>
    </w:p>
    <w:p w14:paraId="7AF6773B" w14:textId="77777777" w:rsidR="00B77C85" w:rsidRDefault="00781A4D">
      <w:pPr>
        <w:pBdr>
          <w:left w:val="thick" w:sz="16" w:space="14" w:color="9A7B2F"/>
        </w:pBdr>
        <w:spacing w:before="280" w:after="280" w:line="360" w:lineRule="auto"/>
        <w:ind w:left="720" w:right="480"/>
      </w:pPr>
      <w:r>
        <w:rPr>
          <w:i/>
          <w:iCs/>
          <w:color w:val="9A7B2F"/>
        </w:rPr>
        <w:t>Sickling is a cycle, not an event. Understanding this shifts the question from 'how do we fix the cell' to 'how do we slow the cycle.'</w:t>
      </w:r>
    </w:p>
    <w:p w14:paraId="7AF6773C" w14:textId="5894D143" w:rsidR="00B77C85" w:rsidRDefault="00781A4D">
      <w:pPr>
        <w:spacing w:before="120" w:after="160" w:line="340" w:lineRule="auto"/>
      </w:pPr>
      <w:r>
        <w:t xml:space="preserve">Four interlocking pathobiological axes run simultaneously: HbS polymerization, </w:t>
      </w:r>
      <w:proofErr w:type="spellStart"/>
      <w:r>
        <w:t>vaso</w:t>
      </w:r>
      <w:proofErr w:type="spellEnd"/>
      <w:r>
        <w:t xml:space="preserve">-occlusion, </w:t>
      </w:r>
      <w:r w:rsidR="00BC5036">
        <w:t>haemolysis</w:t>
      </w:r>
      <w:r>
        <w:t xml:space="preserve">-driven endothelial dysfunction, and sterile inflammation. Damaged red cells adhere to vascular endothelium via selectins and integrins, forming multicellular aggregates that obstruct </w:t>
      </w:r>
      <w:proofErr w:type="spellStart"/>
      <w:r>
        <w:t>microvessels</w:t>
      </w:r>
      <w:proofErr w:type="spellEnd"/>
      <w:r>
        <w:t xml:space="preserve">. </w:t>
      </w:r>
      <w:proofErr w:type="spellStart"/>
      <w:r>
        <w:t>Hemolysis</w:t>
      </w:r>
      <w:proofErr w:type="spellEnd"/>
      <w:r>
        <w:t xml:space="preserve"> liberates cell-free </w:t>
      </w:r>
      <w:proofErr w:type="spellStart"/>
      <w:proofErr w:type="gramStart"/>
      <w:r w:rsidR="00BC5036">
        <w:t>heamoglobin</w:t>
      </w:r>
      <w:proofErr w:type="spellEnd"/>
      <w:r w:rsidR="00BC5036">
        <w:t xml:space="preserve"> </w:t>
      </w:r>
      <w:r>
        <w:t xml:space="preserve"> and</w:t>
      </w:r>
      <w:proofErr w:type="gramEnd"/>
      <w:r>
        <w:t xml:space="preserve"> arginase that scavenge nitric oxide (NO) — the molecule that keeps vessels relaxed and open — driving vasoconstriction, pulmonary hypertension, and endothelial activation. Ongoing ischemia-</w:t>
      </w:r>
      <w:r>
        <w:lastRenderedPageBreak/>
        <w:t>reperfusion escalates inflammatory cytokine release, completing a pathological loop that perpetuates itself.</w:t>
      </w:r>
      <w:r>
        <w:rPr>
          <w:color w:val="555555"/>
          <w:sz w:val="16"/>
          <w:szCs w:val="16"/>
          <w:vertAlign w:val="superscript"/>
        </w:rPr>
        <w:t xml:space="preserve"> [5,6,7]</w:t>
      </w:r>
    </w:p>
    <w:p w14:paraId="7AF6773D" w14:textId="77777777" w:rsidR="00B77C85" w:rsidRDefault="00781A4D">
      <w:pPr>
        <w:spacing w:before="120" w:after="160" w:line="340" w:lineRule="auto"/>
      </w:pPr>
      <w:r>
        <w:t xml:space="preserve">The clinical cascade extends outward: chronic </w:t>
      </w:r>
      <w:proofErr w:type="spellStart"/>
      <w:r>
        <w:t>hemolytic</w:t>
      </w:r>
      <w:proofErr w:type="spellEnd"/>
      <w:r>
        <w:t xml:space="preserve"> </w:t>
      </w:r>
      <w:proofErr w:type="spellStart"/>
      <w:r>
        <w:t>anemia</w:t>
      </w:r>
      <w:proofErr w:type="spellEnd"/>
      <w:r>
        <w:t xml:space="preserve">, episodic </w:t>
      </w:r>
      <w:proofErr w:type="spellStart"/>
      <w:r>
        <w:t>vaso</w:t>
      </w:r>
      <w:proofErr w:type="spellEnd"/>
      <w:r>
        <w:t xml:space="preserve">-occlusive crises (VOC) with severe pain, acute chest syndrome, stroke risk, </w:t>
      </w:r>
      <w:proofErr w:type="spellStart"/>
      <w:r>
        <w:t>autosplenectomy</w:t>
      </w:r>
      <w:proofErr w:type="spellEnd"/>
      <w:r>
        <w:t xml:space="preserve"> with infection vulnerability, chronic kidney disease, avascular necrosis of bone, leg ulcers, and progressive multi-organ dysfunction. The body's compensatory responses — elevated cardiac output, marrow expansion — impose their own metabolic costs, increasing energy and nutrient demands often beyond what affected individuals consume.</w:t>
      </w:r>
      <w:r>
        <w:rPr>
          <w:color w:val="555555"/>
          <w:sz w:val="16"/>
          <w:szCs w:val="16"/>
          <w:vertAlign w:val="superscript"/>
        </w:rPr>
        <w:t xml:space="preserve"> [7,8,9]</w:t>
      </w:r>
    </w:p>
    <w:p w14:paraId="7AF6773E" w14:textId="77777777" w:rsidR="00B77C85" w:rsidRDefault="00781A4D">
      <w:pPr>
        <w:spacing w:before="400" w:after="100"/>
      </w:pPr>
      <w:r>
        <w:rPr>
          <w:b/>
          <w:bCs/>
          <w:sz w:val="28"/>
          <w:szCs w:val="28"/>
        </w:rPr>
        <w:t>2.2 β-Thalassemia: When the Erythroid Factory Fails</w:t>
      </w:r>
    </w:p>
    <w:p w14:paraId="7AF6773F" w14:textId="77777777" w:rsidR="00B77C85" w:rsidRDefault="00781A4D">
      <w:pPr>
        <w:spacing w:before="120" w:after="160" w:line="340" w:lineRule="auto"/>
      </w:pPr>
      <w:r>
        <w:t>β-thalassemia results from mutations reducing (β+) or abolishing (β0) β-globin synthesis. Excess unpaired α-globin chains precipitate inside developing erythroid precursors, generating oxidative damage, endoplasmic reticulum stress, and apoptosis — the hallmark of ineffective erythropoiesis (IE), in which large-scale erythroid activity in the marrow yields very little functional output.</w:t>
      </w:r>
      <w:r>
        <w:rPr>
          <w:color w:val="555555"/>
          <w:sz w:val="16"/>
          <w:szCs w:val="16"/>
          <w:vertAlign w:val="superscript"/>
        </w:rPr>
        <w:t xml:space="preserve"> [10,11]</w:t>
      </w:r>
    </w:p>
    <w:p w14:paraId="7AF67740" w14:textId="77777777" w:rsidR="00B77C85" w:rsidRDefault="00781A4D">
      <w:pPr>
        <w:spacing w:before="120" w:after="160" w:line="340" w:lineRule="auto"/>
      </w:pPr>
      <w:r>
        <w:t xml:space="preserve">Three pillars define the condition: chronic </w:t>
      </w:r>
      <w:proofErr w:type="spellStart"/>
      <w:r>
        <w:t>anemia</w:t>
      </w:r>
      <w:proofErr w:type="spellEnd"/>
      <w:r>
        <w:t xml:space="preserve">, ineffective erythropoiesis, and iron overload. The marrow, desperate to compensate, expands into cortical bone and secretes erythroferrone (ERFE), which suppresses hepcidin — the master regulator of iron absorption — unlocking continuous iron accumulation from the gut. </w:t>
      </w:r>
      <w:proofErr w:type="spellStart"/>
      <w:r>
        <w:t>Transfusional</w:t>
      </w:r>
      <w:proofErr w:type="spellEnd"/>
      <w:r>
        <w:t xml:space="preserve"> iron in transfusion-dependent thalassemia (TDT) adds further to this burden. Excess labile iron generates reactive oxygen species via the Fenton reaction, progressively damaging the liver, heart, and endocrine glands in </w:t>
      </w:r>
      <w:r>
        <w:t>a trajectory that correlates closely with liver iron concentration and serum ferritin.</w:t>
      </w:r>
      <w:r>
        <w:rPr>
          <w:color w:val="555555"/>
          <w:sz w:val="16"/>
          <w:szCs w:val="16"/>
          <w:vertAlign w:val="superscript"/>
        </w:rPr>
        <w:t xml:space="preserve"> [10,11,12]</w:t>
      </w:r>
    </w:p>
    <w:p w14:paraId="7AF67741" w14:textId="77777777" w:rsidR="00B77C85" w:rsidRDefault="00781A4D">
      <w:pPr>
        <w:spacing w:before="120" w:after="160" w:line="340" w:lineRule="auto"/>
      </w:pPr>
      <w:r>
        <w:t>The consequences compound across a lifetime: growth impairment, delayed puberty, hypogonadism, hypothyroidism, diabetes, osteoporosis, and cardiomyopathy. Each endocrinopathy has a nutrition and lifestyle dimension — a place where how the person lives either accelerates or decelerates the damage.</w:t>
      </w:r>
      <w:r>
        <w:rPr>
          <w:color w:val="555555"/>
          <w:sz w:val="16"/>
          <w:szCs w:val="16"/>
          <w:vertAlign w:val="superscript"/>
        </w:rPr>
        <w:t xml:space="preserve"> [13,14]</w:t>
      </w:r>
    </w:p>
    <w:p w14:paraId="7AF67742" w14:textId="77777777" w:rsidR="00B77C85" w:rsidRDefault="00781A4D">
      <w:pPr>
        <w:spacing w:before="400" w:after="100"/>
      </w:pPr>
      <w:r>
        <w:rPr>
          <w:b/>
          <w:bCs/>
          <w:sz w:val="28"/>
          <w:szCs w:val="28"/>
        </w:rPr>
        <w:t>2.3 Convergence and Divergence: Why Differential Precision Is Non-Negotiable</w:t>
      </w:r>
    </w:p>
    <w:p w14:paraId="7AF67743" w14:textId="77777777" w:rsidR="00B77C85" w:rsidRDefault="00781A4D">
      <w:pPr>
        <w:spacing w:before="120" w:after="160" w:line="340" w:lineRule="auto"/>
      </w:pPr>
      <w:r>
        <w:t xml:space="preserve">Both diseases share chronic </w:t>
      </w:r>
      <w:proofErr w:type="spellStart"/>
      <w:r>
        <w:t>hemolytic</w:t>
      </w:r>
      <w:proofErr w:type="spellEnd"/>
      <w:r>
        <w:t xml:space="preserve"> </w:t>
      </w:r>
      <w:proofErr w:type="spellStart"/>
      <w:r>
        <w:t>anemia</w:t>
      </w:r>
      <w:proofErr w:type="spellEnd"/>
      <w:r>
        <w:t xml:space="preserve">, oxidative stress burden, hypermetabolic state, elevated infection risk, and cumulative multi-organ strain. Both increase requirements for energy, protein, and micronutrients involved in erythropoiesis, antioxidant </w:t>
      </w:r>
      <w:proofErr w:type="spellStart"/>
      <w:r>
        <w:t>defense</w:t>
      </w:r>
      <w:proofErr w:type="spellEnd"/>
      <w:r>
        <w:t>, and bone metabolism.</w:t>
      </w:r>
      <w:r>
        <w:rPr>
          <w:color w:val="555555"/>
          <w:sz w:val="16"/>
          <w:szCs w:val="16"/>
          <w:vertAlign w:val="superscript"/>
        </w:rPr>
        <w:t xml:space="preserve"> [8,9]</w:t>
      </w:r>
    </w:p>
    <w:p w14:paraId="7AF67744" w14:textId="77777777" w:rsidR="00B77C85" w:rsidRDefault="00781A4D">
      <w:pPr>
        <w:spacing w:before="120" w:after="160" w:line="340" w:lineRule="auto"/>
      </w:pPr>
      <w:r>
        <w:lastRenderedPageBreak/>
        <w:t>The divergence, however, is therapeutically critical, and conflating the two in a single undifferentiated protocol is not merely imprecise — it is potentially harmful.</w:t>
      </w:r>
    </w:p>
    <w:p w14:paraId="7AF67745" w14:textId="77777777" w:rsidR="00B77C85" w:rsidRDefault="00781A4D">
      <w:pPr>
        <w:spacing w:before="120" w:after="160" w:line="340" w:lineRule="auto"/>
      </w:pPr>
      <w:r>
        <w:t>Iron handling is the sharpest divergence. SCD patients typically have normal or low iron stores unless heavily transfused. β-thalassemia, particularly TDT and NTDT, is dominated by iron overload as a primary driver of morbidity. An iron-rich diet or unsupervised iron supplement is neutral to mildly beneficial in iron-deficient SCD; in thalassemia, it accelerates the organ damage trajectory.</w:t>
      </w:r>
      <w:r>
        <w:rPr>
          <w:color w:val="555555"/>
          <w:sz w:val="16"/>
          <w:szCs w:val="16"/>
          <w:vertAlign w:val="superscript"/>
        </w:rPr>
        <w:t xml:space="preserve"> [11,15]</w:t>
      </w:r>
    </w:p>
    <w:p w14:paraId="7AF67746" w14:textId="77777777" w:rsidR="00B77C85" w:rsidRDefault="00781A4D">
      <w:pPr>
        <w:spacing w:before="120" w:after="160" w:line="340" w:lineRule="auto"/>
      </w:pPr>
      <w:r>
        <w:t xml:space="preserve">The viscosity and adhesion risk unique to SCD means dehydration, cold, hypoxia, and high-intensity exertion are acutely dangerous via </w:t>
      </w:r>
      <w:proofErr w:type="spellStart"/>
      <w:r>
        <w:t>vaso</w:t>
      </w:r>
      <w:proofErr w:type="spellEnd"/>
      <w:r>
        <w:t xml:space="preserve">-occlusion. In β-thalassemia, the primary constraints are chronic </w:t>
      </w:r>
      <w:proofErr w:type="spellStart"/>
      <w:r>
        <w:t>anemia</w:t>
      </w:r>
      <w:proofErr w:type="spellEnd"/>
      <w:r>
        <w:t xml:space="preserve"> and cardiac iron load rather than </w:t>
      </w:r>
      <w:proofErr w:type="spellStart"/>
      <w:r>
        <w:t>vaso</w:t>
      </w:r>
      <w:proofErr w:type="spellEnd"/>
      <w:r>
        <w:t>-occlusion, allowing a somewhat broader exercise envelope once those parameters are controlled.</w:t>
      </w:r>
      <w:r>
        <w:rPr>
          <w:color w:val="555555"/>
          <w:sz w:val="16"/>
          <w:szCs w:val="16"/>
          <w:vertAlign w:val="superscript"/>
        </w:rPr>
        <w:t xml:space="preserve"> [16,17,18]</w:t>
      </w:r>
    </w:p>
    <w:p w14:paraId="7AF67747" w14:textId="77777777" w:rsidR="00B77C85" w:rsidRDefault="00781A4D">
      <w:pPr>
        <w:spacing w:before="120" w:after="160" w:line="340" w:lineRule="auto"/>
      </w:pPr>
      <w:r>
        <w:t>Bone disease in thalassemia is driven by iron overload, marrow expansion, and chelation therapy effects. In SCD, bone complications arise from infarction and microcirculatory ischemia — mechanisms that respond differently to loading, weight-bearing activity, and microcirculation optimization.</w:t>
      </w:r>
      <w:r>
        <w:rPr>
          <w:color w:val="555555"/>
          <w:sz w:val="16"/>
          <w:szCs w:val="16"/>
          <w:vertAlign w:val="superscript"/>
        </w:rPr>
        <w:t xml:space="preserve"> [13,14]</w:t>
      </w:r>
    </w:p>
    <w:p w14:paraId="7AF67748" w14:textId="77777777" w:rsidR="00B77C85" w:rsidRDefault="00781A4D">
      <w:pPr>
        <w:pBdr>
          <w:left w:val="thick" w:sz="16" w:space="14" w:color="9A7B2F"/>
        </w:pBdr>
        <w:spacing w:before="280" w:after="280" w:line="360" w:lineRule="auto"/>
        <w:ind w:left="720" w:right="480"/>
      </w:pPr>
      <w:r>
        <w:rPr>
          <w:i/>
          <w:iCs/>
          <w:color w:val="9A7B2F"/>
        </w:rPr>
        <w:t>A protocol that doesn't distinguish between these two conditions isn't a protocol. It's a liability.</w:t>
      </w:r>
    </w:p>
    <w:p w14:paraId="7AF67749" w14:textId="77777777" w:rsidR="00B77C85" w:rsidRDefault="00781A4D">
      <w:pPr>
        <w:spacing w:before="400" w:after="100"/>
      </w:pPr>
      <w:r>
        <w:rPr>
          <w:b/>
          <w:bCs/>
          <w:sz w:val="28"/>
          <w:szCs w:val="28"/>
        </w:rPr>
        <w:t>2.4 Lifestyle-Accessible Levers in the Biological Cascade</w:t>
      </w:r>
    </w:p>
    <w:p w14:paraId="7AF6774A" w14:textId="77777777" w:rsidR="00B77C85" w:rsidRDefault="00781A4D">
      <w:pPr>
        <w:spacing w:before="120" w:after="160" w:line="340" w:lineRule="auto"/>
      </w:pPr>
      <w:r>
        <w:t>The pathophysiology is not merely a list of problems — it is a map of modifiable nodes. The following levers are reachable through daily life decisions:</w:t>
      </w:r>
    </w:p>
    <w:p w14:paraId="7AF6774B" w14:textId="77777777" w:rsidR="00B77C85" w:rsidRDefault="00781A4D">
      <w:pPr>
        <w:pStyle w:val="ListParagraph"/>
        <w:numPr>
          <w:ilvl w:val="0"/>
          <w:numId w:val="2"/>
        </w:numPr>
        <w:spacing w:before="100" w:after="80"/>
      </w:pPr>
      <w:r>
        <w:rPr>
          <w:b/>
          <w:bCs/>
        </w:rPr>
        <w:t xml:space="preserve">Hydration and blood rheology: </w:t>
      </w:r>
      <w:r>
        <w:t>Dehydration concentrates HbS, directly increasing polymerization probability and blood viscosity. Adequate fluid intake is not generic wellness advice — it is mechanical intervention in the sickling cycle.</w:t>
      </w:r>
      <w:r>
        <w:rPr>
          <w:color w:val="555555"/>
          <w:sz w:val="16"/>
          <w:szCs w:val="16"/>
          <w:vertAlign w:val="superscript"/>
        </w:rPr>
        <w:t xml:space="preserve"> [5,8,60]</w:t>
      </w:r>
    </w:p>
    <w:p w14:paraId="7AF6774C" w14:textId="77777777" w:rsidR="00B77C85" w:rsidRDefault="00781A4D">
      <w:pPr>
        <w:pStyle w:val="ListParagraph"/>
        <w:numPr>
          <w:ilvl w:val="0"/>
          <w:numId w:val="2"/>
        </w:numPr>
        <w:spacing w:before="80" w:after="80"/>
      </w:pPr>
      <w:r>
        <w:rPr>
          <w:b/>
          <w:bCs/>
        </w:rPr>
        <w:t xml:space="preserve">Oxidative stress buffering: </w:t>
      </w:r>
      <w:r>
        <w:t xml:space="preserve">Both diseases generate high reactive oxygen species from </w:t>
      </w:r>
      <w:proofErr w:type="spellStart"/>
      <w:r>
        <w:t>hemolysis</w:t>
      </w:r>
      <w:proofErr w:type="spellEnd"/>
      <w:r>
        <w:t>, iron, and inflammation. Dietary antioxidants — vitamins C and E, carotenoids, polyphenols — raise the body's redox buffer. Clinical trials demonstrate benefits from zinc and vitamin D on growth, bone health, and some clinical endpoints.</w:t>
      </w:r>
      <w:r>
        <w:rPr>
          <w:color w:val="555555"/>
          <w:sz w:val="16"/>
          <w:szCs w:val="16"/>
          <w:vertAlign w:val="superscript"/>
        </w:rPr>
        <w:t xml:space="preserve"> [13,14,19,20]</w:t>
      </w:r>
    </w:p>
    <w:p w14:paraId="7AF6774D" w14:textId="77777777" w:rsidR="00B77C85" w:rsidRDefault="00781A4D">
      <w:pPr>
        <w:pStyle w:val="ListParagraph"/>
        <w:numPr>
          <w:ilvl w:val="0"/>
          <w:numId w:val="2"/>
        </w:numPr>
        <w:spacing w:before="80" w:after="80"/>
      </w:pPr>
      <w:r>
        <w:rPr>
          <w:b/>
          <w:bCs/>
        </w:rPr>
        <w:t xml:space="preserve">Inflammatory tone: </w:t>
      </w:r>
      <w:r>
        <w:t xml:space="preserve">Dietary </w:t>
      </w:r>
      <w:proofErr w:type="spellStart"/>
      <w:r>
        <w:t>fiber</w:t>
      </w:r>
      <w:proofErr w:type="spellEnd"/>
      <w:r>
        <w:t>, omega-3 fatty acids, reduced refined sugars, physical activity, and stress management all modulate systemic inflammatory markers — key determinants of VOC frequency and cardiovascular outcomes.</w:t>
      </w:r>
      <w:r>
        <w:rPr>
          <w:color w:val="555555"/>
          <w:sz w:val="16"/>
          <w:szCs w:val="16"/>
          <w:vertAlign w:val="superscript"/>
        </w:rPr>
        <w:t xml:space="preserve"> [9,17]</w:t>
      </w:r>
    </w:p>
    <w:p w14:paraId="7AF6774E" w14:textId="77777777" w:rsidR="00B77C85" w:rsidRDefault="00781A4D">
      <w:pPr>
        <w:pStyle w:val="ListParagraph"/>
        <w:numPr>
          <w:ilvl w:val="0"/>
          <w:numId w:val="2"/>
        </w:numPr>
        <w:spacing w:before="80" w:after="80"/>
      </w:pPr>
      <w:r>
        <w:rPr>
          <w:b/>
          <w:bCs/>
        </w:rPr>
        <w:t xml:space="preserve">Nutrient-dependent erythropoiesis: </w:t>
      </w:r>
      <w:r>
        <w:t xml:space="preserve">Folate, B12, zinc, protein, and trace minerals are the raw materials of red cell production. Deficiencies directly translate to worsened </w:t>
      </w:r>
      <w:proofErr w:type="spellStart"/>
      <w:r>
        <w:t>anemia</w:t>
      </w:r>
      <w:proofErr w:type="spellEnd"/>
      <w:r>
        <w:t xml:space="preserve"> and increased fatigue — not as abstract risk, but as measurable clinical deterioration.</w:t>
      </w:r>
      <w:r>
        <w:rPr>
          <w:color w:val="555555"/>
          <w:sz w:val="16"/>
          <w:szCs w:val="16"/>
          <w:vertAlign w:val="superscript"/>
        </w:rPr>
        <w:t xml:space="preserve"> [21,22]</w:t>
      </w:r>
    </w:p>
    <w:p w14:paraId="7AF6774F" w14:textId="77777777" w:rsidR="00B77C85" w:rsidRDefault="00781A4D">
      <w:pPr>
        <w:pStyle w:val="ListParagraph"/>
        <w:numPr>
          <w:ilvl w:val="0"/>
          <w:numId w:val="2"/>
        </w:numPr>
        <w:spacing w:before="80" w:after="120"/>
      </w:pPr>
      <w:r>
        <w:rPr>
          <w:b/>
          <w:bCs/>
        </w:rPr>
        <w:t xml:space="preserve">Autonomic balance and pain perception: </w:t>
      </w:r>
      <w:r>
        <w:t xml:space="preserve">Sleep quality, stress management, and mind-body practices modulate sympathetic activity, inflammatory cytokine levels, and </w:t>
      </w:r>
      <w:r>
        <w:lastRenderedPageBreak/>
        <w:t>pain thresholds through well-characterized neurobiological mechanisms — not as adjuncts, but as primary interventions.</w:t>
      </w:r>
      <w:r>
        <w:rPr>
          <w:color w:val="555555"/>
          <w:sz w:val="16"/>
          <w:szCs w:val="16"/>
          <w:vertAlign w:val="superscript"/>
        </w:rPr>
        <w:t xml:space="preserve"> [23,24]</w:t>
      </w:r>
    </w:p>
    <w:p w14:paraId="7AF67750" w14:textId="77777777" w:rsidR="00B77C85" w:rsidRDefault="00B77C85">
      <w:pPr>
        <w:spacing w:before="80" w:after="80"/>
      </w:pPr>
    </w:p>
    <w:p w14:paraId="7AF67751" w14:textId="77777777" w:rsidR="00B77C85" w:rsidRDefault="00781A4D">
      <w:pPr>
        <w:pBdr>
          <w:bottom w:val="single" w:sz="8" w:space="4" w:color="9A7B2F"/>
        </w:pBdr>
        <w:spacing w:before="560" w:after="120"/>
      </w:pPr>
      <w:r>
        <w:rPr>
          <w:b/>
          <w:bCs/>
          <w:sz w:val="36"/>
          <w:szCs w:val="36"/>
        </w:rPr>
        <w:t xml:space="preserve">3. India as an Active Variable, </w:t>
      </w:r>
      <w:proofErr w:type="gramStart"/>
      <w:r>
        <w:rPr>
          <w:b/>
          <w:bCs/>
          <w:sz w:val="36"/>
          <w:szCs w:val="36"/>
        </w:rPr>
        <w:t>Not</w:t>
      </w:r>
      <w:proofErr w:type="gramEnd"/>
      <w:r>
        <w:rPr>
          <w:b/>
          <w:bCs/>
          <w:sz w:val="36"/>
          <w:szCs w:val="36"/>
        </w:rPr>
        <w:t xml:space="preserve"> a Backdrop</w:t>
      </w:r>
    </w:p>
    <w:p w14:paraId="7AF67752" w14:textId="77777777" w:rsidR="00B77C85" w:rsidRDefault="00781A4D">
      <w:pPr>
        <w:spacing w:before="120" w:after="160" w:line="340" w:lineRule="auto"/>
      </w:pPr>
      <w:r>
        <w:t>Western clinical literature dominates the evidence base for these conditions. That literature is genuinely valuable — the underlying biology does not change with geography. But its practical recommendations were built in Western dietary contexts, in Western healthcare infrastructures, for patients whose baseline nutritional conditions bear little resemblance to those of a tribal family in Chhattisgarh. Translation, not mere adoption, is required.</w:t>
      </w:r>
    </w:p>
    <w:p w14:paraId="7AF67753" w14:textId="77777777" w:rsidR="00B77C85" w:rsidRDefault="00781A4D">
      <w:pPr>
        <w:spacing w:before="400" w:after="100"/>
      </w:pPr>
      <w:r>
        <w:rPr>
          <w:b/>
          <w:bCs/>
          <w:sz w:val="28"/>
          <w:szCs w:val="28"/>
        </w:rPr>
        <w:t>3.1 Epidemiology and Geography</w:t>
      </w:r>
    </w:p>
    <w:p w14:paraId="7AF67754" w14:textId="503824DD" w:rsidR="00B77C85" w:rsidRDefault="00781A4D">
      <w:pPr>
        <w:spacing w:before="120" w:after="160" w:line="340" w:lineRule="auto"/>
      </w:pPr>
      <w:r>
        <w:t xml:space="preserve">India's SCD burden is geographically concentrated and ethnically patterned. The Arab-Indian haplotype — common in India — is associated with higher fetal </w:t>
      </w:r>
      <w:proofErr w:type="spellStart"/>
      <w:proofErr w:type="gramStart"/>
      <w:r w:rsidR="00BC5036">
        <w:t>heamoglobin</w:t>
      </w:r>
      <w:proofErr w:type="spellEnd"/>
      <w:r w:rsidR="00BC5036">
        <w:t xml:space="preserve"> </w:t>
      </w:r>
      <w:r>
        <w:t xml:space="preserve"> levels</w:t>
      </w:r>
      <w:proofErr w:type="gramEnd"/>
      <w:r>
        <w:t xml:space="preserve"> and somewhat milder average disease severity, but with wide inter-individual variability and frequent co-inheritance with α-thalassemia and other </w:t>
      </w:r>
      <w:proofErr w:type="spellStart"/>
      <w:proofErr w:type="gramStart"/>
      <w:r w:rsidR="00BC5036">
        <w:t>heamoglobin</w:t>
      </w:r>
      <w:proofErr w:type="spellEnd"/>
      <w:r w:rsidR="00BC5036">
        <w:t xml:space="preserve"> </w:t>
      </w:r>
      <w:r>
        <w:t xml:space="preserve"> variants</w:t>
      </w:r>
      <w:proofErr w:type="gramEnd"/>
      <w:r>
        <w:t xml:space="preserve"> that modify the phenotype unpredictably.</w:t>
      </w:r>
      <w:r>
        <w:rPr>
          <w:color w:val="555555"/>
          <w:sz w:val="16"/>
          <w:szCs w:val="16"/>
          <w:vertAlign w:val="superscript"/>
        </w:rPr>
        <w:t xml:space="preserve"> [1,25,26]</w:t>
      </w:r>
    </w:p>
    <w:p w14:paraId="7AF67755" w14:textId="77777777" w:rsidR="00B77C85" w:rsidRDefault="00781A4D">
      <w:pPr>
        <w:spacing w:before="120" w:after="160" w:line="340" w:lineRule="auto"/>
      </w:pPr>
      <w:r>
        <w:t xml:space="preserve">The National Sickle Cell </w:t>
      </w:r>
      <w:proofErr w:type="spellStart"/>
      <w:r>
        <w:t>Anemia</w:t>
      </w:r>
      <w:proofErr w:type="spellEnd"/>
      <w:r>
        <w:t xml:space="preserve"> Elimination Mission (2023) emphasizes tribal screening, penicillin prophylaxis, hydroxyurea access, and transfusion and chelation services. For thalassemia, India contributes significantly to the global birth burden of thalassemia major, distributed across broader ethnic and geographic footprints than SCD.</w:t>
      </w:r>
      <w:r>
        <w:rPr>
          <w:color w:val="555555"/>
          <w:sz w:val="16"/>
          <w:szCs w:val="16"/>
          <w:vertAlign w:val="superscript"/>
        </w:rPr>
        <w:t xml:space="preserve"> [3,28,29,30]</w:t>
      </w:r>
    </w:p>
    <w:p w14:paraId="7AF67756" w14:textId="77777777" w:rsidR="00B77C85" w:rsidRDefault="00781A4D">
      <w:pPr>
        <w:spacing w:before="400" w:after="100"/>
      </w:pPr>
      <w:r>
        <w:rPr>
          <w:b/>
          <w:bCs/>
          <w:sz w:val="28"/>
          <w:szCs w:val="28"/>
        </w:rPr>
        <w:t>3.2 The Nutritional Double Bind</w:t>
      </w:r>
    </w:p>
    <w:p w14:paraId="7AF67757" w14:textId="77777777" w:rsidR="00B77C85" w:rsidRDefault="00781A4D">
      <w:pPr>
        <w:spacing w:before="120" w:after="160" w:line="340" w:lineRule="auto"/>
      </w:pPr>
      <w:r>
        <w:t>The disease increases what the body needs. Poverty and food insecurity reduce what the body gets. The gap between those two realities is where most of the preventable suffering lives.</w:t>
      </w:r>
      <w:r>
        <w:rPr>
          <w:color w:val="555555"/>
          <w:sz w:val="16"/>
          <w:szCs w:val="16"/>
          <w:vertAlign w:val="superscript"/>
        </w:rPr>
        <w:t xml:space="preserve"> [22,31]</w:t>
      </w:r>
    </w:p>
    <w:p w14:paraId="7AF67758" w14:textId="77777777" w:rsidR="00B77C85" w:rsidRDefault="00781A4D">
      <w:pPr>
        <w:spacing w:before="120" w:after="160" w:line="340" w:lineRule="auto"/>
      </w:pPr>
      <w:r>
        <w:t>Studies of β-thalassemia major patients in lower-middle-income countries show 5–70 percent prevalence of undernutrition with low energy intake and widespread deficiencies in zinc, selenium, vitamins D and E — even in patients with normal BMI. Indian-specific SCD nutrition data are limited, but the geographic and economic overlap with tribal undernutrition is not coincidental — it is a structural compounding of the disease burden.</w:t>
      </w:r>
      <w:r>
        <w:rPr>
          <w:color w:val="555555"/>
          <w:sz w:val="16"/>
          <w:szCs w:val="16"/>
          <w:vertAlign w:val="superscript"/>
        </w:rPr>
        <w:t xml:space="preserve"> [32,33,34,35]</w:t>
      </w:r>
    </w:p>
    <w:p w14:paraId="7AF67759" w14:textId="1BDA8FA8" w:rsidR="00B77C85" w:rsidRDefault="00781A4D">
      <w:pPr>
        <w:pBdr>
          <w:left w:val="thick" w:sz="16" w:space="14" w:color="9A7B2F"/>
        </w:pBdr>
        <w:spacing w:before="280" w:after="280" w:line="360" w:lineRule="auto"/>
        <w:ind w:left="720" w:right="480"/>
      </w:pPr>
      <w:r>
        <w:rPr>
          <w:i/>
          <w:iCs/>
          <w:color w:val="9A7B2F"/>
        </w:rPr>
        <w:t xml:space="preserve">Undernutrition in a </w:t>
      </w:r>
      <w:proofErr w:type="spellStart"/>
      <w:r w:rsidR="00BC5036">
        <w:rPr>
          <w:i/>
          <w:iCs/>
          <w:color w:val="9A7B2F"/>
        </w:rPr>
        <w:t>heamoglobin</w:t>
      </w:r>
      <w:proofErr w:type="spellEnd"/>
      <w:r w:rsidR="00BC5036">
        <w:rPr>
          <w:i/>
          <w:iCs/>
          <w:color w:val="9A7B2F"/>
        </w:rPr>
        <w:t xml:space="preserve"> </w:t>
      </w:r>
      <w:proofErr w:type="spellStart"/>
      <w:r>
        <w:rPr>
          <w:i/>
          <w:iCs/>
          <w:color w:val="9A7B2F"/>
        </w:rPr>
        <w:t>opathy</w:t>
      </w:r>
      <w:proofErr w:type="spellEnd"/>
      <w:r>
        <w:rPr>
          <w:i/>
          <w:iCs/>
          <w:color w:val="9A7B2F"/>
        </w:rPr>
        <w:t xml:space="preserve"> patient is not just a nutritional problem. It is a pathophysiological amplifier — increasing </w:t>
      </w:r>
      <w:proofErr w:type="spellStart"/>
      <w:r>
        <w:rPr>
          <w:i/>
          <w:iCs/>
          <w:color w:val="9A7B2F"/>
        </w:rPr>
        <w:t>hemolysis</w:t>
      </w:r>
      <w:proofErr w:type="spellEnd"/>
      <w:r>
        <w:rPr>
          <w:i/>
          <w:iCs/>
          <w:color w:val="9A7B2F"/>
        </w:rPr>
        <w:t>, worsening immune function, and accelerating the organ damage that was going to come anyway.</w:t>
      </w:r>
    </w:p>
    <w:p w14:paraId="7AF6775A" w14:textId="77777777" w:rsidR="00B77C85" w:rsidRDefault="00781A4D">
      <w:pPr>
        <w:spacing w:before="400" w:after="100"/>
      </w:pPr>
      <w:r>
        <w:rPr>
          <w:b/>
          <w:bCs/>
          <w:sz w:val="28"/>
          <w:szCs w:val="28"/>
        </w:rPr>
        <w:lastRenderedPageBreak/>
        <w:t>3.3 What Indian Diets Actually Offer</w:t>
      </w:r>
    </w:p>
    <w:p w14:paraId="7AF6775B" w14:textId="77777777" w:rsidR="00B77C85" w:rsidRDefault="00781A4D">
      <w:pPr>
        <w:spacing w:before="120" w:after="160" w:line="340" w:lineRule="auto"/>
      </w:pPr>
      <w:r>
        <w:t xml:space="preserve">Traditional diets in high-SCD-burden tribal belts are built around millets (ragi, jowar, bajra), rice, locally grown pulses (pigeon pea, black gram, green gram, horse gram), oilseeds, forest greens, tubers, and seasonal animal-source foods. These are, nutritionally, often richer than they appear. Millets provide complex carbohydrates, </w:t>
      </w:r>
      <w:proofErr w:type="spellStart"/>
      <w:r>
        <w:t>fiber</w:t>
      </w:r>
      <w:proofErr w:type="spellEnd"/>
      <w:r>
        <w:t>, plant protein, B vitamins, iron, and magnesium. Indigenous forest greens carry β-carotene, vitamin C, calcium, and iron at concentrations that commercially grown produce rarely matches.</w:t>
      </w:r>
      <w:r>
        <w:rPr>
          <w:color w:val="555555"/>
          <w:sz w:val="16"/>
          <w:szCs w:val="16"/>
          <w:vertAlign w:val="superscript"/>
        </w:rPr>
        <w:t xml:space="preserve"> [34,35,39,40]</w:t>
      </w:r>
    </w:p>
    <w:p w14:paraId="7AF6775C" w14:textId="77777777" w:rsidR="00B77C85" w:rsidRDefault="00781A4D">
      <w:pPr>
        <w:spacing w:before="120" w:after="160" w:line="340" w:lineRule="auto"/>
      </w:pPr>
      <w:r>
        <w:t>The tragedy is diet transition: polished rice, wheat flour, and ultra-processed snacks are displacing these ancestral foods in the very communities where micronutrient density matters most. The solution is often not importing new recommendations — it is reinstating old ones.</w:t>
      </w:r>
    </w:p>
    <w:p w14:paraId="7AF6775D" w14:textId="77777777" w:rsidR="00B77C85" w:rsidRDefault="00781A4D">
      <w:pPr>
        <w:spacing w:before="120" w:after="160" w:line="340" w:lineRule="auto"/>
      </w:pPr>
      <w:r>
        <w:t xml:space="preserve">Traditional fermentation and soaking practices — </w:t>
      </w:r>
      <w:proofErr w:type="spellStart"/>
      <w:r>
        <w:t>idli</w:t>
      </w:r>
      <w:proofErr w:type="spellEnd"/>
      <w:r>
        <w:t>, dosa, dhokla, fermented kanji, sprouted legumes — reduce phytate, substantially improving iron and zinc bioavailability while adding B vitamins. These are not biohacking trends. They are encoded nutritional intelligence, generationally validated, that deserve to be treated as evidence-based food preparation tools.</w:t>
      </w:r>
      <w:r>
        <w:rPr>
          <w:color w:val="555555"/>
          <w:sz w:val="16"/>
          <w:szCs w:val="16"/>
          <w:vertAlign w:val="superscript"/>
        </w:rPr>
        <w:t xml:space="preserve"> [35,40]</w:t>
      </w:r>
    </w:p>
    <w:p w14:paraId="7AF6775E" w14:textId="77777777" w:rsidR="00B77C85" w:rsidRDefault="00781A4D">
      <w:pPr>
        <w:spacing w:before="400" w:after="100"/>
      </w:pPr>
      <w:r>
        <w:rPr>
          <w:b/>
          <w:bCs/>
          <w:sz w:val="28"/>
          <w:szCs w:val="28"/>
        </w:rPr>
        <w:t>3.4 The Infrastructure Gradient</w:t>
      </w:r>
    </w:p>
    <w:p w14:paraId="7AF6775F" w14:textId="77777777" w:rsidR="00B77C85" w:rsidRDefault="00781A4D">
      <w:pPr>
        <w:spacing w:before="120" w:after="160" w:line="340" w:lineRule="auto"/>
      </w:pPr>
      <w:r>
        <w:t xml:space="preserve">Healthcare access in India spans an enormous range: from tertiary </w:t>
      </w:r>
      <w:proofErr w:type="spellStart"/>
      <w:r>
        <w:t>centers</w:t>
      </w:r>
      <w:proofErr w:type="spellEnd"/>
      <w:r>
        <w:t xml:space="preserve"> with sophisticated chelation and transfusion programs to primary health </w:t>
      </w:r>
      <w:proofErr w:type="spellStart"/>
      <w:r>
        <w:t>centers</w:t>
      </w:r>
      <w:proofErr w:type="spellEnd"/>
      <w:r>
        <w:t xml:space="preserve"> with intermittent staffing and supply, to tribal villages where the Accredited Social Health Activist (ASHA) is the primary health interface. Heat, limited clean water, poor ventilation, irregular electricity, occupational manual </w:t>
      </w:r>
      <w:proofErr w:type="spellStart"/>
      <w:r>
        <w:t>labor</w:t>
      </w:r>
      <w:proofErr w:type="spellEnd"/>
      <w:r>
        <w:t xml:space="preserve"> in agriculture and construction, shared sleeping spaces — these are the modal conditions for most people with these diseases.</w:t>
      </w:r>
      <w:r>
        <w:rPr>
          <w:color w:val="555555"/>
          <w:sz w:val="16"/>
          <w:szCs w:val="16"/>
          <w:vertAlign w:val="superscript"/>
        </w:rPr>
        <w:t xml:space="preserve"> [3,27,38]</w:t>
      </w:r>
    </w:p>
    <w:p w14:paraId="7AF67760" w14:textId="77777777" w:rsidR="00B77C85" w:rsidRDefault="00781A4D">
      <w:pPr>
        <w:spacing w:before="120" w:after="160" w:line="340" w:lineRule="auto"/>
      </w:pPr>
      <w:r>
        <w:t>Any protocol that cannot survive contact with this reality is not a protocol for India. This review is explicit about what is feasible at each tier.</w:t>
      </w:r>
    </w:p>
    <w:p w14:paraId="7AF67761" w14:textId="77777777" w:rsidR="00B77C85" w:rsidRDefault="00B77C85">
      <w:pPr>
        <w:spacing w:before="80" w:after="80"/>
      </w:pPr>
    </w:p>
    <w:p w14:paraId="7AF67762" w14:textId="77777777" w:rsidR="00B77C85" w:rsidRDefault="00781A4D">
      <w:pPr>
        <w:pBdr>
          <w:bottom w:val="single" w:sz="8" w:space="4" w:color="9A7B2F"/>
        </w:pBdr>
        <w:spacing w:before="560" w:after="120"/>
      </w:pPr>
      <w:r>
        <w:rPr>
          <w:b/>
          <w:bCs/>
          <w:sz w:val="36"/>
          <w:szCs w:val="36"/>
        </w:rPr>
        <w:t>4. Evidence Landscape and Confidence Grading</w:t>
      </w:r>
    </w:p>
    <w:p w14:paraId="7AF67763" w14:textId="77777777" w:rsidR="00B77C85" w:rsidRDefault="00781A4D">
      <w:pPr>
        <w:spacing w:before="120" w:after="160" w:line="340" w:lineRule="auto"/>
      </w:pPr>
      <w:r>
        <w:t>Before constructing recommendations, intellectual honesty requires mapping the evidence landscape — what is established, what is plausible extrapolation, and what remains genuinely unknown.</w:t>
      </w:r>
    </w:p>
    <w:p w14:paraId="7AF67764" w14:textId="77777777" w:rsidR="00B77C85" w:rsidRDefault="00781A4D">
      <w:pPr>
        <w:spacing w:before="400" w:after="100"/>
      </w:pPr>
      <w:r>
        <w:rPr>
          <w:b/>
          <w:bCs/>
          <w:sz w:val="28"/>
          <w:szCs w:val="28"/>
        </w:rPr>
        <w:t>4.1 Nutrition and SCD: What the Trials Show</w:t>
      </w:r>
    </w:p>
    <w:p w14:paraId="7AF67765" w14:textId="77777777" w:rsidR="00B77C85" w:rsidRDefault="00781A4D">
      <w:pPr>
        <w:spacing w:before="120" w:after="160" w:line="340" w:lineRule="auto"/>
      </w:pPr>
      <w:r>
        <w:lastRenderedPageBreak/>
        <w:t>Systematic reviews confirm that people with SCD have elevated basal metabolic rate and energy expenditure, and that standard recommended dietary allowances for healthy individuals underestimate their needs. Protein and energy supplementation in children with SCD has been associated with improved growth, though data remain limited.</w:t>
      </w:r>
      <w:r>
        <w:rPr>
          <w:color w:val="555555"/>
          <w:sz w:val="16"/>
          <w:szCs w:val="16"/>
          <w:vertAlign w:val="superscript"/>
        </w:rPr>
        <w:t xml:space="preserve"> [8,9,43,44]</w:t>
      </w:r>
    </w:p>
    <w:p w14:paraId="7AF67766" w14:textId="77777777" w:rsidR="00B77C85" w:rsidRDefault="00781A4D">
      <w:pPr>
        <w:spacing w:before="120" w:after="160" w:line="340" w:lineRule="auto"/>
      </w:pPr>
      <w:r>
        <w:t>Zinc supplementation shows the most consistent clinical evidence — improving growth and reducing infection incidence across multiple small trials. Omega-3 supplementation demonstrates a modest but mechanistically coherent effect on lowering VOC frequency. Vitamin D deficiency is widespread in SCD populations and correlates with bone pain and poor outcomes, with supplementation improving levels and some clinical endpoints. The folic acid picture is more nuanced: many patients are already supplemented; a rece</w:t>
      </w:r>
      <w:r>
        <w:t>nt systematic review found that routine pharmacological folate does not universally alter clinical outcomes, suggesting targeted supplementation based on dietary pattern and measured deficiency rather than universal prescription.</w:t>
      </w:r>
      <w:r>
        <w:rPr>
          <w:color w:val="555555"/>
          <w:sz w:val="16"/>
          <w:szCs w:val="16"/>
          <w:vertAlign w:val="superscript"/>
        </w:rPr>
        <w:t xml:space="preserve"> [44,45,46,19,36]</w:t>
      </w:r>
    </w:p>
    <w:p w14:paraId="7AF67767" w14:textId="77777777" w:rsidR="00B77C85" w:rsidRDefault="00781A4D">
      <w:pPr>
        <w:spacing w:before="400" w:after="100"/>
      </w:pPr>
      <w:r>
        <w:rPr>
          <w:b/>
          <w:bCs/>
          <w:sz w:val="28"/>
          <w:szCs w:val="28"/>
        </w:rPr>
        <w:t>4.2 Exercise in SCD</w:t>
      </w:r>
    </w:p>
    <w:p w14:paraId="7AF67768" w14:textId="77777777" w:rsidR="00B77C85" w:rsidRDefault="00781A4D">
      <w:pPr>
        <w:spacing w:before="120" w:after="160" w:line="340" w:lineRule="auto"/>
      </w:pPr>
      <w:r>
        <w:t>Systematic reviews establish that low-to-moderate intensity supervised exercise — walking, light cycling at a conversational pace — is safe and beneficial in stable SCD, improving endothelial function, functional capacity, and quality of life without increasing VOC in controlled settings. High-intensity exertion, dehydration, and temperature extremes remain documented risk factors for crisis.</w:t>
      </w:r>
      <w:r>
        <w:rPr>
          <w:color w:val="555555"/>
          <w:sz w:val="16"/>
          <w:szCs w:val="16"/>
          <w:vertAlign w:val="superscript"/>
        </w:rPr>
        <w:t xml:space="preserve"> [17,18,47,60]</w:t>
      </w:r>
    </w:p>
    <w:p w14:paraId="7AF67769" w14:textId="77777777" w:rsidR="00B77C85" w:rsidRDefault="00781A4D">
      <w:pPr>
        <w:spacing w:before="120" w:after="160" w:line="340" w:lineRule="auto"/>
      </w:pPr>
      <w:r>
        <w:t>An Indian research team has developed and content-validated a specific yoga module for SCD, filtering 27 practices through expert consensus to exclude higher-intensity elements. RCTs in hospitalized children with VOC demonstrate reduced pain scores and analgesic requirements from yoga interventions — early-phase data, but directionally strong and culturally accessible.</w:t>
      </w:r>
      <w:r>
        <w:rPr>
          <w:color w:val="555555"/>
          <w:sz w:val="16"/>
          <w:szCs w:val="16"/>
          <w:vertAlign w:val="superscript"/>
        </w:rPr>
        <w:t xml:space="preserve"> [23,24,48,49]</w:t>
      </w:r>
    </w:p>
    <w:p w14:paraId="7AF6776A" w14:textId="77777777" w:rsidR="00B77C85" w:rsidRDefault="00781A4D">
      <w:pPr>
        <w:spacing w:before="400" w:after="100"/>
      </w:pPr>
      <w:r>
        <w:rPr>
          <w:b/>
          <w:bCs/>
          <w:sz w:val="28"/>
          <w:szCs w:val="28"/>
        </w:rPr>
        <w:t>4.3 Nutrition in β-Thalassemia</w:t>
      </w:r>
    </w:p>
    <w:p w14:paraId="7AF6776B" w14:textId="77777777" w:rsidR="00B77C85" w:rsidRDefault="00781A4D">
      <w:pPr>
        <w:spacing w:before="120" w:after="160" w:line="340" w:lineRule="auto"/>
      </w:pPr>
      <w:r>
        <w:t>Nutritional reviews show a consistent pattern: thalassemia patients in lower-middle-income countries are often undernourished with abnormal body composition, low bone mineral density, and deficiencies in vitamins A, C, D, E, zinc, and selenium. TIF guidelines recommend annual nutritional assessment and individualized supplementation guided by lab values — a reasonable standard that remains aspirational in most Indian settings.</w:t>
      </w:r>
      <w:r>
        <w:rPr>
          <w:color w:val="555555"/>
          <w:sz w:val="16"/>
          <w:szCs w:val="16"/>
          <w:vertAlign w:val="superscript"/>
        </w:rPr>
        <w:t xml:space="preserve"> [13,14,20,32,50]</w:t>
      </w:r>
    </w:p>
    <w:p w14:paraId="7AF6776C" w14:textId="77777777" w:rsidR="00B77C85" w:rsidRDefault="00781A4D">
      <w:pPr>
        <w:spacing w:before="120" w:after="160" w:line="340" w:lineRule="auto"/>
      </w:pPr>
      <w:r>
        <w:t xml:space="preserve">The iron management guidance from TIF and UCSF is evidence-backed and unequivocal: avoid iron supplements and iron-fortified foods in thalassemia outside specific clinical scenarios </w:t>
      </w:r>
      <w:r>
        <w:lastRenderedPageBreak/>
        <w:t>under medical supervision. For NTDT, black tea with meals to reduce non-</w:t>
      </w:r>
      <w:proofErr w:type="spellStart"/>
      <w:r>
        <w:t>heme</w:t>
      </w:r>
      <w:proofErr w:type="spellEnd"/>
      <w:r>
        <w:t xml:space="preserve"> iron absorption is a guideline-supported, zero-cost, culturally natural strategy.</w:t>
      </w:r>
      <w:r>
        <w:rPr>
          <w:color w:val="555555"/>
          <w:sz w:val="16"/>
          <w:szCs w:val="16"/>
          <w:vertAlign w:val="superscript"/>
        </w:rPr>
        <w:t xml:space="preserve"> [15,21,50]</w:t>
      </w:r>
    </w:p>
    <w:p w14:paraId="7AF6776D" w14:textId="77777777" w:rsidR="00B77C85" w:rsidRDefault="00781A4D">
      <w:pPr>
        <w:spacing w:before="400" w:after="100"/>
      </w:pPr>
      <w:r>
        <w:rPr>
          <w:b/>
          <w:bCs/>
          <w:sz w:val="28"/>
          <w:szCs w:val="28"/>
        </w:rPr>
        <w:t>4.4 Traditional Medicine: Hypothesis, Not Established Practice</w:t>
      </w:r>
    </w:p>
    <w:p w14:paraId="7AF6776E" w14:textId="77777777" w:rsidR="00B77C85" w:rsidRDefault="00781A4D">
      <w:pPr>
        <w:spacing w:before="120" w:after="160" w:line="340" w:lineRule="auto"/>
      </w:pPr>
      <w:r>
        <w:t xml:space="preserve">Ayurvedic approaches to SCD — </w:t>
      </w:r>
      <w:proofErr w:type="spellStart"/>
      <w:r>
        <w:t>Kiratatikta</w:t>
      </w:r>
      <w:proofErr w:type="spellEnd"/>
      <w:r>
        <w:t xml:space="preserve">, </w:t>
      </w:r>
      <w:proofErr w:type="spellStart"/>
      <w:r>
        <w:t>Guduchi</w:t>
      </w:r>
      <w:proofErr w:type="spellEnd"/>
      <w:r>
        <w:t xml:space="preserve">, </w:t>
      </w:r>
      <w:proofErr w:type="spellStart"/>
      <w:r>
        <w:t>Dadimadi</w:t>
      </w:r>
      <w:proofErr w:type="spellEnd"/>
      <w:r>
        <w:t xml:space="preserve"> Ghrita, and polyherbal preparations — have been explored in small, methodologically limited studies. ICMR and the Ministry of AYUSH have initiated a </w:t>
      </w:r>
      <w:proofErr w:type="spellStart"/>
      <w:r>
        <w:t>multicenter</w:t>
      </w:r>
      <w:proofErr w:type="spellEnd"/>
      <w:r>
        <w:t xml:space="preserve"> RCT with over 1,300 participants, focusing on VOC frequency and quality of life outcomes. Results are pending.</w:t>
      </w:r>
      <w:r>
        <w:rPr>
          <w:color w:val="555555"/>
          <w:sz w:val="16"/>
          <w:szCs w:val="16"/>
          <w:vertAlign w:val="superscript"/>
        </w:rPr>
        <w:t xml:space="preserve"> [51,52,54,55]</w:t>
      </w:r>
    </w:p>
    <w:p w14:paraId="7AF6776F" w14:textId="77777777" w:rsidR="00B77C85" w:rsidRDefault="00781A4D">
      <w:pPr>
        <w:spacing w:before="120" w:after="160" w:line="340" w:lineRule="auto"/>
      </w:pPr>
      <w:r>
        <w:t>Until robust trial data emerge, these formulations are experimental adjuncts — not replacements for hydroxyurea, transfusion, or chelation. Yoga occupies different epistemic ground: stronger evidence, clearer risk-benefit profiles, and practical accessibility that is unmatched.</w:t>
      </w:r>
    </w:p>
    <w:p w14:paraId="7AF67770" w14:textId="77777777" w:rsidR="00B77C85" w:rsidRDefault="00781A4D">
      <w:pPr>
        <w:spacing w:before="400" w:after="100"/>
      </w:pPr>
      <w:r>
        <w:rPr>
          <w:b/>
          <w:bCs/>
          <w:sz w:val="28"/>
          <w:szCs w:val="28"/>
        </w:rPr>
        <w:t>4.5 Explicit Knowledge Gaps</w:t>
      </w:r>
    </w:p>
    <w:p w14:paraId="7AF67771" w14:textId="77777777" w:rsidR="00B77C85" w:rsidRDefault="00781A4D">
      <w:pPr>
        <w:spacing w:before="120" w:after="160" w:line="340" w:lineRule="auto"/>
      </w:pPr>
      <w:r>
        <w:t>The following represent areas where this review relies on mechanistic plausibility and safe extrapolation rather than direct evidence — flagged with appropriate epistemic caution:</w:t>
      </w:r>
    </w:p>
    <w:p w14:paraId="7AF67772" w14:textId="77777777" w:rsidR="00B77C85" w:rsidRDefault="00781A4D">
      <w:pPr>
        <w:pStyle w:val="ListParagraph"/>
        <w:numPr>
          <w:ilvl w:val="0"/>
          <w:numId w:val="2"/>
        </w:numPr>
        <w:spacing w:before="80" w:after="80"/>
      </w:pPr>
      <w:r>
        <w:t>Robust Indian data on micronutrient status specific to SCD, as distinct from general tribal undernutrition</w:t>
      </w:r>
      <w:r>
        <w:rPr>
          <w:color w:val="555555"/>
          <w:sz w:val="16"/>
          <w:szCs w:val="16"/>
          <w:vertAlign w:val="superscript"/>
        </w:rPr>
        <w:t xml:space="preserve"> [37,22]</w:t>
      </w:r>
    </w:p>
    <w:p w14:paraId="7AF67773" w14:textId="77777777" w:rsidR="00B77C85" w:rsidRDefault="00781A4D">
      <w:pPr>
        <w:pStyle w:val="ListParagraph"/>
        <w:numPr>
          <w:ilvl w:val="0"/>
          <w:numId w:val="2"/>
        </w:numPr>
        <w:spacing w:before="80" w:after="80"/>
      </w:pPr>
      <w:r>
        <w:t>Large controlled trials of omega-3 and antioxidant-rich dietary patterns in Indian tribal and rural contexts</w:t>
      </w:r>
      <w:r>
        <w:rPr>
          <w:color w:val="555555"/>
          <w:sz w:val="16"/>
          <w:szCs w:val="16"/>
          <w:vertAlign w:val="superscript"/>
        </w:rPr>
        <w:t xml:space="preserve"> [19,18]</w:t>
      </w:r>
    </w:p>
    <w:p w14:paraId="7AF67774" w14:textId="049A5985" w:rsidR="00B77C85" w:rsidRDefault="00781A4D">
      <w:pPr>
        <w:pStyle w:val="ListParagraph"/>
        <w:numPr>
          <w:ilvl w:val="0"/>
          <w:numId w:val="2"/>
        </w:numPr>
        <w:spacing w:before="80" w:after="80"/>
      </w:pPr>
      <w:r>
        <w:t xml:space="preserve">Life-course studies tracking how early-life nutrition in Indian </w:t>
      </w:r>
      <w:proofErr w:type="spellStart"/>
      <w:r w:rsidR="00BC5036">
        <w:t>heamoglobin</w:t>
      </w:r>
      <w:proofErr w:type="spellEnd"/>
      <w:r w:rsidR="00BC5036">
        <w:t xml:space="preserve"> </w:t>
      </w:r>
      <w:proofErr w:type="spellStart"/>
      <w:r>
        <w:t>opathy</w:t>
      </w:r>
      <w:proofErr w:type="spellEnd"/>
      <w:r>
        <w:t xml:space="preserve"> patients shapes adult organ damage trajectories</w:t>
      </w:r>
      <w:r>
        <w:rPr>
          <w:color w:val="555555"/>
          <w:sz w:val="16"/>
          <w:szCs w:val="16"/>
          <w:vertAlign w:val="superscript"/>
        </w:rPr>
        <w:t xml:space="preserve"> [13,14]</w:t>
      </w:r>
    </w:p>
    <w:p w14:paraId="7AF67775" w14:textId="77777777" w:rsidR="00B77C85" w:rsidRDefault="00781A4D">
      <w:pPr>
        <w:pStyle w:val="ListParagraph"/>
        <w:numPr>
          <w:ilvl w:val="0"/>
          <w:numId w:val="2"/>
        </w:numPr>
        <w:spacing w:before="80" w:after="120"/>
      </w:pPr>
      <w:r>
        <w:t>Pragmatic implementation trials of CHO/ASHA-delivered lifestyle coaching integrated with the National SCD Mission</w:t>
      </w:r>
      <w:r>
        <w:rPr>
          <w:color w:val="555555"/>
          <w:sz w:val="16"/>
          <w:szCs w:val="16"/>
          <w:vertAlign w:val="superscript"/>
        </w:rPr>
        <w:t xml:space="preserve"> [29,38]</w:t>
      </w:r>
    </w:p>
    <w:p w14:paraId="7AF67776" w14:textId="77777777" w:rsidR="00B77C85" w:rsidRDefault="00781A4D">
      <w:pPr>
        <w:pBdr>
          <w:left w:val="thick" w:sz="16" w:space="14" w:color="9A7B2F"/>
        </w:pBdr>
        <w:spacing w:before="280" w:after="280" w:line="360" w:lineRule="auto"/>
        <w:ind w:left="720" w:right="480"/>
      </w:pPr>
      <w:r>
        <w:rPr>
          <w:i/>
          <w:iCs/>
          <w:color w:val="9A7B2F"/>
        </w:rPr>
        <w:t>In the absence of perfect evidence, the intelligent move is not inaction — it is low-risk, reversible action with honest uncertainty labels attached.</w:t>
      </w:r>
    </w:p>
    <w:p w14:paraId="7AF67777" w14:textId="77777777" w:rsidR="00B77C85" w:rsidRDefault="00B77C85">
      <w:pPr>
        <w:spacing w:before="80" w:after="80"/>
      </w:pPr>
    </w:p>
    <w:p w14:paraId="7AF67778" w14:textId="77777777" w:rsidR="00B77C85" w:rsidRDefault="00781A4D">
      <w:pPr>
        <w:pBdr>
          <w:bottom w:val="single" w:sz="8" w:space="4" w:color="9A7B2F"/>
        </w:pBdr>
        <w:spacing w:before="560" w:after="120"/>
      </w:pPr>
      <w:r>
        <w:rPr>
          <w:b/>
          <w:bCs/>
          <w:sz w:val="36"/>
          <w:szCs w:val="36"/>
        </w:rPr>
        <w:t>5. The Nutritional Optimization System</w:t>
      </w:r>
    </w:p>
    <w:p w14:paraId="7AF67779" w14:textId="77777777" w:rsidR="00B77C85" w:rsidRDefault="00781A4D">
      <w:pPr>
        <w:spacing w:before="120" w:after="160" w:line="340" w:lineRule="auto"/>
      </w:pPr>
      <w:r>
        <w:t>This section does not offer a diet plan. A diet plan tells you what to eat. A nutritional system provides the reasoning to make sound food decisions across varying income levels, seasons, disease phases, and physical states — and the understanding of why those decisions matter at the cellular level.</w:t>
      </w:r>
    </w:p>
    <w:p w14:paraId="7AF6777A" w14:textId="77777777" w:rsidR="00B77C85" w:rsidRDefault="00781A4D">
      <w:pPr>
        <w:spacing w:before="400" w:after="100"/>
      </w:pPr>
      <w:r>
        <w:rPr>
          <w:b/>
          <w:bCs/>
          <w:sz w:val="28"/>
          <w:szCs w:val="28"/>
        </w:rPr>
        <w:lastRenderedPageBreak/>
        <w:t>5.1 Overarching Principles Common to Both Conditions</w:t>
      </w:r>
    </w:p>
    <w:p w14:paraId="7AF6777B" w14:textId="77777777" w:rsidR="00B77C85" w:rsidRDefault="00781A4D">
      <w:pPr>
        <w:spacing w:before="120" w:after="160" w:line="340" w:lineRule="auto"/>
      </w:pPr>
      <w:r>
        <w:t xml:space="preserve">Energy first, then micronutrients. A body in chronic caloric deficit cannot efficiently utilize nutrients regardless of diet quality. Hypermetabolism from chronic </w:t>
      </w:r>
      <w:proofErr w:type="spellStart"/>
      <w:r>
        <w:t>anemia</w:t>
      </w:r>
      <w:proofErr w:type="spellEnd"/>
      <w:r>
        <w:t>, elevated cardiac output, and marrow expansion means these patients need more energy than healthy peers. Chronic undereating is not restraint — it is a form of biological self-harm.</w:t>
      </w:r>
      <w:r>
        <w:rPr>
          <w:color w:val="555555"/>
          <w:sz w:val="16"/>
          <w:szCs w:val="16"/>
          <w:vertAlign w:val="superscript"/>
        </w:rPr>
        <w:t xml:space="preserve"> [8,9,32,43]</w:t>
      </w:r>
    </w:p>
    <w:p w14:paraId="7AF6777C" w14:textId="77777777" w:rsidR="00B77C85" w:rsidRDefault="00781A4D">
      <w:pPr>
        <w:pStyle w:val="ListParagraph"/>
        <w:numPr>
          <w:ilvl w:val="0"/>
          <w:numId w:val="2"/>
        </w:numPr>
        <w:spacing w:before="100" w:after="80"/>
      </w:pPr>
      <w:r>
        <w:rPr>
          <w:b/>
          <w:bCs/>
        </w:rPr>
        <w:t xml:space="preserve">Anchor every main meal in a pulse or animal protein: </w:t>
      </w:r>
      <w:r>
        <w:t>dal, sambar, chole, rajma, soy, groundnut chutney, eggs, fish, curd. These are the structural foundation, not optional additions.</w:t>
      </w:r>
    </w:p>
    <w:p w14:paraId="7AF6777D" w14:textId="77777777" w:rsidR="00B77C85" w:rsidRDefault="00781A4D">
      <w:pPr>
        <w:pStyle w:val="ListParagraph"/>
        <w:numPr>
          <w:ilvl w:val="0"/>
          <w:numId w:val="2"/>
        </w:numPr>
        <w:spacing w:before="80" w:after="80"/>
      </w:pPr>
      <w:r>
        <w:rPr>
          <w:b/>
          <w:bCs/>
        </w:rPr>
        <w:t xml:space="preserve">Use millets and whole grains: </w:t>
      </w:r>
      <w:r>
        <w:t xml:space="preserve">Ragi, jowar, bajra, and unpolished rice deliver more minerals and </w:t>
      </w:r>
      <w:proofErr w:type="spellStart"/>
      <w:r>
        <w:t>fiber</w:t>
      </w:r>
      <w:proofErr w:type="spellEnd"/>
      <w:r>
        <w:t xml:space="preserve"> than refined cereals. Combined with pulses, they provide complete amino acid profiles.</w:t>
      </w:r>
      <w:r>
        <w:rPr>
          <w:color w:val="555555"/>
          <w:sz w:val="16"/>
          <w:szCs w:val="16"/>
          <w:vertAlign w:val="superscript"/>
        </w:rPr>
        <w:t xml:space="preserve"> [34,35,40]</w:t>
      </w:r>
    </w:p>
    <w:p w14:paraId="7AF6777E" w14:textId="77777777" w:rsidR="00B77C85" w:rsidRDefault="00781A4D">
      <w:pPr>
        <w:pStyle w:val="ListParagraph"/>
        <w:numPr>
          <w:ilvl w:val="0"/>
          <w:numId w:val="2"/>
        </w:numPr>
        <w:spacing w:before="80" w:after="80"/>
      </w:pPr>
      <w:r>
        <w:rPr>
          <w:b/>
          <w:bCs/>
        </w:rPr>
        <w:t xml:space="preserve">Build antioxidants through </w:t>
      </w:r>
      <w:proofErr w:type="spellStart"/>
      <w:r>
        <w:rPr>
          <w:b/>
          <w:bCs/>
        </w:rPr>
        <w:t>color</w:t>
      </w:r>
      <w:proofErr w:type="spellEnd"/>
      <w:r>
        <w:rPr>
          <w:b/>
          <w:bCs/>
        </w:rPr>
        <w:t xml:space="preserve"> diversity: </w:t>
      </w:r>
      <w:r>
        <w:t>At least two different-</w:t>
      </w:r>
      <w:proofErr w:type="spellStart"/>
      <w:r>
        <w:t>colored</w:t>
      </w:r>
      <w:proofErr w:type="spellEnd"/>
      <w:r>
        <w:t xml:space="preserve"> vegetables — including a leafy green — daily. In low-resource settings: guava, papaya, drumstick leaves, amaranth, mustard greens, citrus.</w:t>
      </w:r>
      <w:r>
        <w:rPr>
          <w:color w:val="555555"/>
          <w:sz w:val="16"/>
          <w:szCs w:val="16"/>
          <w:vertAlign w:val="superscript"/>
        </w:rPr>
        <w:t xml:space="preserve"> [34,35,59]</w:t>
      </w:r>
    </w:p>
    <w:p w14:paraId="7AF6777F" w14:textId="77777777" w:rsidR="00B77C85" w:rsidRDefault="00781A4D">
      <w:pPr>
        <w:pStyle w:val="ListParagraph"/>
        <w:numPr>
          <w:ilvl w:val="0"/>
          <w:numId w:val="2"/>
        </w:numPr>
        <w:spacing w:before="80" w:after="80"/>
      </w:pPr>
      <w:r>
        <w:rPr>
          <w:b/>
          <w:bCs/>
        </w:rPr>
        <w:t xml:space="preserve">Leverage traditional ferments and soaking: </w:t>
      </w:r>
      <w:proofErr w:type="spellStart"/>
      <w:r>
        <w:t>Idli</w:t>
      </w:r>
      <w:proofErr w:type="spellEnd"/>
      <w:r>
        <w:t>, dosa, dhokla, fermented kanji, soaked and sprouted pulses and millets reduce phytate, improving iron and zinc bioavailability. This is ancestral nutritional intelligence encoded in cooking practice.</w:t>
      </w:r>
      <w:r>
        <w:rPr>
          <w:color w:val="555555"/>
          <w:sz w:val="16"/>
          <w:szCs w:val="16"/>
          <w:vertAlign w:val="superscript"/>
        </w:rPr>
        <w:t xml:space="preserve"> [35,40]</w:t>
      </w:r>
    </w:p>
    <w:p w14:paraId="7AF67780" w14:textId="77777777" w:rsidR="00B77C85" w:rsidRDefault="00781A4D">
      <w:pPr>
        <w:pStyle w:val="ListParagraph"/>
        <w:numPr>
          <w:ilvl w:val="0"/>
          <w:numId w:val="2"/>
        </w:numPr>
        <w:spacing w:before="80" w:after="120"/>
      </w:pPr>
      <w:r>
        <w:rPr>
          <w:b/>
          <w:bCs/>
        </w:rPr>
        <w:t xml:space="preserve">Use healthy fats strategically: </w:t>
      </w:r>
      <w:r>
        <w:t>Groundnut, mustard, sesame, and rice bran oils support energy density and fat-soluble vitamin absorption. Limit deep-frying — oxidized lipids at high heat add to the oxidative burden these bodies are already managing.</w:t>
      </w:r>
      <w:r>
        <w:rPr>
          <w:color w:val="555555"/>
          <w:sz w:val="16"/>
          <w:szCs w:val="16"/>
          <w:vertAlign w:val="superscript"/>
        </w:rPr>
        <w:t xml:space="preserve"> [40,35]</w:t>
      </w:r>
    </w:p>
    <w:p w14:paraId="7AF67781" w14:textId="77777777" w:rsidR="00B77C85" w:rsidRDefault="00781A4D">
      <w:pPr>
        <w:spacing w:before="400" w:after="100"/>
      </w:pPr>
      <w:r>
        <w:rPr>
          <w:b/>
          <w:bCs/>
          <w:sz w:val="28"/>
          <w:szCs w:val="28"/>
        </w:rPr>
        <w:t>5.2 SCD-Specific Nutritional Logic</w:t>
      </w:r>
    </w:p>
    <w:p w14:paraId="7AF67782" w14:textId="77777777" w:rsidR="00B77C85" w:rsidRDefault="00781A4D">
      <w:pPr>
        <w:spacing w:before="120" w:after="160" w:line="340" w:lineRule="auto"/>
      </w:pPr>
      <w:r>
        <w:t xml:space="preserve">The core biochemical goals in SCD are elevated energy and protein intake, correction of micronutrient deficiencies, support of antioxidant </w:t>
      </w:r>
      <w:proofErr w:type="spellStart"/>
      <w:r>
        <w:t>defenses</w:t>
      </w:r>
      <w:proofErr w:type="spellEnd"/>
      <w:r>
        <w:t xml:space="preserve"> and NO-dependent endothelial function, sustained hydration, and calibrated iron management — addressing deficiency if documented, but not supplementing aggressively without clinical indication because some SCD patients accumulate iron from transfusions.</w:t>
      </w:r>
      <w:r>
        <w:rPr>
          <w:color w:val="555555"/>
          <w:sz w:val="16"/>
          <w:szCs w:val="16"/>
          <w:vertAlign w:val="superscript"/>
        </w:rPr>
        <w:t xml:space="preserve"> [8,9,44]</w:t>
      </w:r>
    </w:p>
    <w:p w14:paraId="7AF67783" w14:textId="77777777" w:rsidR="00B77C85" w:rsidRDefault="00781A4D">
      <w:pPr>
        <w:spacing w:before="120" w:after="160" w:line="340" w:lineRule="auto"/>
      </w:pPr>
      <w:r>
        <w:t>Zinc and vitamin D are the two micronutrients with the most consistent trial evidence in SCD. Zinc-rich foods — whole pulses, chickpeas, lentils, groundnuts, seeds, eggs, small fish — should be prioritized daily. Early morning or late afternoon sunlight exposure (15–30 minutes, arms and legs exposed) addresses vitamin D in a country that paradoxically combines abundant sunlight with high deficiency rates, largely due to skin phototype, indoor occupations, and clothing. Cholecalciferol supplementation is app</w:t>
      </w:r>
      <w:r>
        <w:t>ropriate and inexpensive where measured deficiency is severe.</w:t>
      </w:r>
      <w:r>
        <w:rPr>
          <w:color w:val="555555"/>
          <w:sz w:val="16"/>
          <w:szCs w:val="16"/>
          <w:vertAlign w:val="superscript"/>
        </w:rPr>
        <w:t xml:space="preserve"> [36,37,9,19]</w:t>
      </w:r>
    </w:p>
    <w:p w14:paraId="7AF67784" w14:textId="77777777" w:rsidR="00B77C85" w:rsidRDefault="00781A4D">
      <w:pPr>
        <w:spacing w:before="120" w:after="160" w:line="340" w:lineRule="auto"/>
      </w:pPr>
      <w:r>
        <w:t xml:space="preserve">Omega-3 fatty acids — from small oily fish (sardines, mackerel) 1–2 times weekly where culturally acceptable, or ground flaxseed and mustard oil for vegetarian and inland populations — reduce inflammatory tone through </w:t>
      </w:r>
      <w:proofErr w:type="spellStart"/>
      <w:r>
        <w:t>prostanoid</w:t>
      </w:r>
      <w:proofErr w:type="spellEnd"/>
      <w:r>
        <w:t xml:space="preserve"> and cytokine pathways. The evidence for VOC reduction is modest but mechanistically coherent.</w:t>
      </w:r>
      <w:r>
        <w:rPr>
          <w:color w:val="555555"/>
          <w:sz w:val="16"/>
          <w:szCs w:val="16"/>
          <w:vertAlign w:val="superscript"/>
        </w:rPr>
        <w:t xml:space="preserve"> [45,19]</w:t>
      </w:r>
    </w:p>
    <w:p w14:paraId="7AF67785" w14:textId="77777777" w:rsidR="00B77C85" w:rsidRDefault="00781A4D">
      <w:pPr>
        <w:spacing w:before="120" w:after="160" w:line="340" w:lineRule="auto"/>
      </w:pPr>
      <w:r>
        <w:lastRenderedPageBreak/>
        <w:t>A practical low-resource SCD daily pattern, entirely within PDS staples and local produce:</w:t>
      </w:r>
    </w:p>
    <w:p w14:paraId="7AF67786" w14:textId="77777777" w:rsidR="00B77C85" w:rsidRDefault="00781A4D">
      <w:pPr>
        <w:spacing w:before="120" w:after="160" w:line="340" w:lineRule="auto"/>
      </w:pPr>
      <w:r>
        <w:t xml:space="preserve">Morning: Warm water on waking; ragi porridge with groundnut chutney; banana if available. Mid-morning: Buttermilk with roasted cumin and rock salt. Lunch: Unpolished rice or jowar </w:t>
      </w:r>
      <w:proofErr w:type="spellStart"/>
      <w:r>
        <w:t>bhakri</w:t>
      </w:r>
      <w:proofErr w:type="spellEnd"/>
      <w:r>
        <w:t>; mixed dal; local leafy greens cooked in mustard oil with garlic; lemon wedge. Evening: Roasted chana or groundnuts; seasonal fruit. Dinner: Millet khichdi with moong dal and seasonal vegetables; curd if available.</w:t>
      </w:r>
    </w:p>
    <w:p w14:paraId="7AF67787" w14:textId="77777777" w:rsidR="00B77C85" w:rsidRDefault="00781A4D">
      <w:pPr>
        <w:spacing w:before="400" w:after="100"/>
      </w:pPr>
      <w:r>
        <w:rPr>
          <w:b/>
          <w:bCs/>
          <w:sz w:val="28"/>
          <w:szCs w:val="28"/>
        </w:rPr>
        <w:t>5.3 β-Thalassemia-Specific Nutritional Logic</w:t>
      </w:r>
    </w:p>
    <w:p w14:paraId="7AF67788" w14:textId="77777777" w:rsidR="00B77C85" w:rsidRDefault="00781A4D">
      <w:pPr>
        <w:pBdr>
          <w:left w:val="thick" w:sz="16" w:space="14" w:color="9A7B2F"/>
        </w:pBdr>
        <w:spacing w:before="280" w:after="280" w:line="360" w:lineRule="auto"/>
        <w:ind w:left="720" w:right="480"/>
      </w:pPr>
      <w:r>
        <w:rPr>
          <w:i/>
          <w:iCs/>
          <w:color w:val="9A7B2F"/>
        </w:rPr>
        <w:t>In thalassemia, the iron is not a problem to be solved. It is a problem to be contained. Every nutritional decision is made in relation to that constraint.</w:t>
      </w:r>
    </w:p>
    <w:p w14:paraId="7AF67789" w14:textId="77777777" w:rsidR="00B77C85" w:rsidRDefault="00781A4D">
      <w:pPr>
        <w:spacing w:before="120" w:after="160" w:line="340" w:lineRule="auto"/>
      </w:pPr>
      <w:r>
        <w:t>Iron discipline is the non-negotiable foundation. Avoid iron supplements and iron-fortified foods — including fortified flours and commercial breakfast cereals — without medical direction. For NTDT, regular consumption of black tea with meals reduces non-</w:t>
      </w:r>
      <w:proofErr w:type="spellStart"/>
      <w:r>
        <w:t>heme</w:t>
      </w:r>
      <w:proofErr w:type="spellEnd"/>
      <w:r>
        <w:t xml:space="preserve"> iron absorption through tea polyphenol-mediated inhibition — a guideline-supported, zero-cost, culturally natural strategy.</w:t>
      </w:r>
      <w:r>
        <w:rPr>
          <w:color w:val="555555"/>
          <w:sz w:val="16"/>
          <w:szCs w:val="16"/>
          <w:vertAlign w:val="superscript"/>
        </w:rPr>
        <w:t xml:space="preserve"> [15,21,50]</w:t>
      </w:r>
    </w:p>
    <w:p w14:paraId="7AF6778A" w14:textId="77777777" w:rsidR="00B77C85" w:rsidRDefault="00781A4D">
      <w:pPr>
        <w:spacing w:before="120" w:after="160" w:line="340" w:lineRule="auto"/>
      </w:pPr>
      <w:r>
        <w:t>Bone and endocrine support require daily calcium-rich foods: milk, curd, paneer, ragi, sesame seeds, amaranth leaves — 2–3 servings. Protein for bone and muscle maintenance: dal, soy, eggs, chicken, fish, curd, and groundnuts, adjusted to renal and cardiac status. Vitamin D sources as above.</w:t>
      </w:r>
      <w:r>
        <w:rPr>
          <w:color w:val="555555"/>
          <w:sz w:val="16"/>
          <w:szCs w:val="16"/>
          <w:vertAlign w:val="superscript"/>
        </w:rPr>
        <w:t xml:space="preserve"> [13,14,20]</w:t>
      </w:r>
    </w:p>
    <w:p w14:paraId="7AF6778B" w14:textId="77777777" w:rsidR="00B77C85" w:rsidRDefault="00781A4D">
      <w:pPr>
        <w:spacing w:before="120" w:after="160" w:line="340" w:lineRule="auto"/>
      </w:pPr>
      <w:r>
        <w:t>Chelation-nutrition timing deserves explicit education: deferasirox is typically taken on an empty stomach or with a light meal. Diet should ensure adequate energy around dosing schedules without compromising chelation adherence or tolerability — a practical detail that affects real-world compliance more than most clinical interventions.</w:t>
      </w:r>
      <w:r>
        <w:rPr>
          <w:color w:val="555555"/>
          <w:sz w:val="16"/>
          <w:szCs w:val="16"/>
          <w:vertAlign w:val="superscript"/>
        </w:rPr>
        <w:t xml:space="preserve"> [50,15]</w:t>
      </w:r>
    </w:p>
    <w:p w14:paraId="7AF6778C" w14:textId="77777777" w:rsidR="00B77C85" w:rsidRDefault="00781A4D">
      <w:pPr>
        <w:spacing w:before="120" w:after="160" w:line="340" w:lineRule="auto"/>
      </w:pPr>
      <w:r>
        <w:t xml:space="preserve">An example urban adolescent day for TDT: Breakfast: poha with peas and groundnuts; glass of milk. Mid-morning: guava or orange; roasted chana. Lunch: chapati from mixed wheat-jowar flour; rajma or chole; leafy vegetable sabzi; curd. Tea with this meal — not after — to moderate iron absorption. Evening: buttermilk; upma or </w:t>
      </w:r>
      <w:proofErr w:type="spellStart"/>
      <w:r>
        <w:t>idli</w:t>
      </w:r>
      <w:proofErr w:type="spellEnd"/>
      <w:r>
        <w:t>. Dinner: rice-dal khichdi with vegetables; sautéed greens; glass of milk before bed.</w:t>
      </w:r>
    </w:p>
    <w:p w14:paraId="7AF6778D" w14:textId="77777777" w:rsidR="00B77C85" w:rsidRDefault="00781A4D">
      <w:pPr>
        <w:spacing w:before="400" w:after="100"/>
      </w:pPr>
      <w:proofErr w:type="gramStart"/>
      <w:r>
        <w:rPr>
          <w:b/>
          <w:bCs/>
          <w:sz w:val="28"/>
          <w:szCs w:val="28"/>
        </w:rPr>
        <w:t>5.4 Tiered</w:t>
      </w:r>
      <w:proofErr w:type="gramEnd"/>
      <w:r>
        <w:rPr>
          <w:b/>
          <w:bCs/>
          <w:sz w:val="28"/>
          <w:szCs w:val="28"/>
        </w:rPr>
        <w:t xml:space="preserve"> Access System</w:t>
      </w:r>
    </w:p>
    <w:p w14:paraId="7AF6778E" w14:textId="77777777" w:rsidR="00B77C85" w:rsidRDefault="00781A4D">
      <w:pPr>
        <w:spacing w:before="120" w:after="160" w:line="340" w:lineRule="auto"/>
      </w:pPr>
      <w:r>
        <w:t>To make these recommendations actionable across India's economic and geographic gradient, three access tiers are defined:</w:t>
      </w:r>
    </w:p>
    <w:p w14:paraId="7AF6778F" w14:textId="77777777" w:rsidR="00B77C85" w:rsidRDefault="00781A4D">
      <w:pPr>
        <w:spacing w:before="120" w:after="160" w:line="340" w:lineRule="auto"/>
      </w:pPr>
      <w:r>
        <w:lastRenderedPageBreak/>
        <w:t>Tier 1 — Minimal resource (tribal/rural, high poverty): PDS staples as base; add low-cost pulses, local greens, seasonal fruits, groundnuts, buttermilk. The pattern message is simple: dal twice a day, one green sabzi daily, water with every meal.</w:t>
      </w:r>
      <w:r>
        <w:rPr>
          <w:color w:val="555555"/>
          <w:sz w:val="16"/>
          <w:szCs w:val="16"/>
          <w:vertAlign w:val="superscript"/>
        </w:rPr>
        <w:t xml:space="preserve"> [34,38]</w:t>
      </w:r>
    </w:p>
    <w:p w14:paraId="7AF67790" w14:textId="77777777" w:rsidR="00B77C85" w:rsidRDefault="00781A4D">
      <w:pPr>
        <w:spacing w:before="120" w:after="160" w:line="340" w:lineRule="auto"/>
      </w:pPr>
      <w:r>
        <w:t>Tier 2 — Basic diversity (small towns, low-to-middle-income urban): Add variety of pulses, fortified milk, eggs several times weekly, occasional fish or chicken; consider low-cost zinc and vitamin D supplements where deficiency risk is high.</w:t>
      </w:r>
      <w:r>
        <w:rPr>
          <w:color w:val="555555"/>
          <w:sz w:val="16"/>
          <w:szCs w:val="16"/>
          <w:vertAlign w:val="superscript"/>
        </w:rPr>
        <w:t xml:space="preserve"> [33,32]</w:t>
      </w:r>
    </w:p>
    <w:p w14:paraId="7AF67791" w14:textId="77777777" w:rsidR="00B77C85" w:rsidRDefault="00781A4D">
      <w:pPr>
        <w:spacing w:before="120" w:after="160" w:line="340" w:lineRule="auto"/>
      </w:pPr>
      <w:r>
        <w:t>Tier 3 — Higher resource (metropolitan, middle-to-upper-income): Lab-guided micronutrient supplementation, dietitian input, structured plans that lean into Indian staples rather than imported 'superfoods'; vitamin D-fortified milk without added iron; chelation regimen integration.</w:t>
      </w:r>
      <w:r>
        <w:rPr>
          <w:color w:val="555555"/>
          <w:sz w:val="16"/>
          <w:szCs w:val="16"/>
          <w:vertAlign w:val="superscript"/>
        </w:rPr>
        <w:t xml:space="preserve"> [21,15]</w:t>
      </w:r>
    </w:p>
    <w:p w14:paraId="7AF67792" w14:textId="77777777" w:rsidR="00B77C85" w:rsidRDefault="00B77C85">
      <w:pPr>
        <w:spacing w:before="80" w:after="80"/>
      </w:pPr>
    </w:p>
    <w:p w14:paraId="7AF67793" w14:textId="77777777" w:rsidR="00B77C85" w:rsidRDefault="00781A4D">
      <w:pPr>
        <w:pBdr>
          <w:bottom w:val="single" w:sz="8" w:space="4" w:color="9A7B2F"/>
        </w:pBdr>
        <w:spacing w:before="560" w:after="120"/>
      </w:pPr>
      <w:r>
        <w:rPr>
          <w:b/>
          <w:bCs/>
          <w:sz w:val="36"/>
          <w:szCs w:val="36"/>
        </w:rPr>
        <w:t>6. The Movement Protocol</w:t>
      </w:r>
    </w:p>
    <w:p w14:paraId="7AF67794" w14:textId="77777777" w:rsidR="00B77C85" w:rsidRDefault="00781A4D">
      <w:pPr>
        <w:spacing w:before="120" w:after="160" w:line="340" w:lineRule="auto"/>
      </w:pPr>
      <w:r>
        <w:t>Exercise is not a lifestyle adjunct for these patients. It is a pharmacological lever with a precise dose-response relationship — too little surrenders measurable benefit, too much triggers the very pathological cascades the protocol aims to prevent.</w:t>
      </w:r>
    </w:p>
    <w:p w14:paraId="7AF67795" w14:textId="463DD681" w:rsidR="00B77C85" w:rsidRDefault="00781A4D">
      <w:pPr>
        <w:pBdr>
          <w:left w:val="thick" w:sz="16" w:space="14" w:color="9A7B2F"/>
        </w:pBdr>
        <w:spacing w:before="280" w:after="280" w:line="360" w:lineRule="auto"/>
        <w:ind w:left="720" w:right="480"/>
      </w:pPr>
      <w:r>
        <w:rPr>
          <w:i/>
          <w:iCs/>
          <w:color w:val="9A7B2F"/>
        </w:rPr>
        <w:t xml:space="preserve">Movement in </w:t>
      </w:r>
      <w:proofErr w:type="spellStart"/>
      <w:r w:rsidR="00BC5036">
        <w:rPr>
          <w:i/>
          <w:iCs/>
          <w:color w:val="9A7B2F"/>
        </w:rPr>
        <w:t>heamoglobin</w:t>
      </w:r>
      <w:proofErr w:type="spellEnd"/>
      <w:r w:rsidR="00BC5036">
        <w:rPr>
          <w:i/>
          <w:iCs/>
          <w:color w:val="9A7B2F"/>
        </w:rPr>
        <w:t xml:space="preserve"> </w:t>
      </w:r>
      <w:proofErr w:type="spellStart"/>
      <w:r>
        <w:rPr>
          <w:i/>
          <w:iCs/>
          <w:color w:val="9A7B2F"/>
        </w:rPr>
        <w:t>opathy</w:t>
      </w:r>
      <w:proofErr w:type="spellEnd"/>
      <w:r>
        <w:rPr>
          <w:i/>
          <w:iCs/>
          <w:color w:val="9A7B2F"/>
        </w:rPr>
        <w:t xml:space="preserve"> is dose-response therapy. The dose is the protocol. Precision matters in both directions.</w:t>
      </w:r>
    </w:p>
    <w:p w14:paraId="7AF67796" w14:textId="77777777" w:rsidR="00B77C85" w:rsidRDefault="00781A4D">
      <w:pPr>
        <w:spacing w:before="400" w:after="100"/>
      </w:pPr>
      <w:r>
        <w:rPr>
          <w:b/>
          <w:bCs/>
          <w:sz w:val="28"/>
          <w:szCs w:val="28"/>
        </w:rPr>
        <w:t>6.1 Exercise Physiology in SCD</w:t>
      </w:r>
    </w:p>
    <w:p w14:paraId="7AF67797" w14:textId="77777777" w:rsidR="00B77C85" w:rsidRDefault="00781A4D">
      <w:pPr>
        <w:spacing w:before="120" w:after="160" w:line="340" w:lineRule="auto"/>
      </w:pPr>
      <w:r>
        <w:t>The oxygen delivery system in SCD is chronically strained. Exercise increases oxygen demand, heart rate, lactate, and local acidosis — conditions that lower the threshold for HbS polymerization and promote sickling. Below a critical intensity threshold, however, these risks are outweighed by the benefits: improved endothelial NO production, reduced resting inflammatory tone, enhanced aerobic capacity, and improved quality of life.</w:t>
      </w:r>
      <w:r>
        <w:rPr>
          <w:color w:val="555555"/>
          <w:sz w:val="16"/>
          <w:szCs w:val="16"/>
          <w:vertAlign w:val="superscript"/>
        </w:rPr>
        <w:t xml:space="preserve"> [5,17,18,47]</w:t>
      </w:r>
    </w:p>
    <w:p w14:paraId="7AF67798" w14:textId="77777777" w:rsidR="00B77C85" w:rsidRDefault="00781A4D">
      <w:pPr>
        <w:spacing w:before="120" w:after="160" w:line="340" w:lineRule="auto"/>
      </w:pPr>
      <w:r>
        <w:t>Systematic reviews confirm that low-to-moderate intensity supervised exercise — Borg RPE 11–13, a conversational pace — is safe in stable SCD without increased VOC in most subjects. High-intensity exercise, sudden maximal efforts, dehydration, cold, altitude hypoxia, and extreme thermal environments remain documented precipitants of crisis and are absolute contraindications to uncontrolled exertion.</w:t>
      </w:r>
      <w:r>
        <w:rPr>
          <w:color w:val="555555"/>
          <w:sz w:val="16"/>
          <w:szCs w:val="16"/>
          <w:vertAlign w:val="superscript"/>
        </w:rPr>
        <w:t xml:space="preserve"> [47,60,18]</w:t>
      </w:r>
    </w:p>
    <w:p w14:paraId="7AF67799" w14:textId="77777777" w:rsidR="00B77C85" w:rsidRDefault="00781A4D">
      <w:pPr>
        <w:spacing w:before="120" w:after="160" w:line="340" w:lineRule="auto"/>
      </w:pPr>
      <w:r>
        <w:t>A three-phase adaptive framework calibrated to daily disease state:</w:t>
      </w:r>
    </w:p>
    <w:p w14:paraId="7AF6779A" w14:textId="77777777" w:rsidR="00B77C85" w:rsidRDefault="00781A4D">
      <w:pPr>
        <w:spacing w:before="120" w:after="160" w:line="340" w:lineRule="auto"/>
      </w:pPr>
      <w:r>
        <w:rPr>
          <w:b/>
          <w:bCs/>
        </w:rPr>
        <w:lastRenderedPageBreak/>
        <w:t>Red days</w:t>
      </w:r>
      <w:r>
        <w:t xml:space="preserve"> (acute pain, fever, post-transfusion, or acute illness): No formal exercise. Gentle range-of-motion in bed, slow diaphragmatic breathing, frequent repositioning. Active recovery, not defeat.</w:t>
      </w:r>
    </w:p>
    <w:p w14:paraId="7AF6779B" w14:textId="77777777" w:rsidR="00B77C85" w:rsidRDefault="00781A4D">
      <w:pPr>
        <w:spacing w:before="120" w:after="160" w:line="340" w:lineRule="auto"/>
      </w:pPr>
      <w:r>
        <w:rPr>
          <w:b/>
          <w:bCs/>
        </w:rPr>
        <w:t>Amber days</w:t>
      </w:r>
      <w:r>
        <w:t xml:space="preserve"> (mild residual fatigue, recovering): Short bouts of very light walking (3–5 minutes), gentle stretching, restorative yoga postures. Discontinue at any pain intensification or </w:t>
      </w:r>
      <w:proofErr w:type="spellStart"/>
      <w:r>
        <w:t>dyspnea</w:t>
      </w:r>
      <w:proofErr w:type="spellEnd"/>
      <w:r>
        <w:t>.</w:t>
      </w:r>
      <w:r>
        <w:rPr>
          <w:color w:val="555555"/>
          <w:sz w:val="16"/>
          <w:szCs w:val="16"/>
          <w:vertAlign w:val="superscript"/>
        </w:rPr>
        <w:t xml:space="preserve"> [23,24]</w:t>
      </w:r>
    </w:p>
    <w:p w14:paraId="7AF6779C" w14:textId="77777777" w:rsidR="00B77C85" w:rsidRDefault="00781A4D">
      <w:pPr>
        <w:spacing w:before="120" w:after="160" w:line="340" w:lineRule="auto"/>
      </w:pPr>
      <w:r>
        <w:rPr>
          <w:b/>
          <w:bCs/>
        </w:rPr>
        <w:t>Green days</w:t>
      </w:r>
      <w:r>
        <w:t xml:space="preserve"> (stable, no acute complications): 20–30 minutes of low-intensity walking, light cycling, or adapted yoga. Pre- and post-session hydration is non-negotiable. Avoid mid-day heat; use shaded or indoor spaces.</w:t>
      </w:r>
      <w:r>
        <w:rPr>
          <w:color w:val="555555"/>
          <w:sz w:val="16"/>
          <w:szCs w:val="16"/>
          <w:vertAlign w:val="superscript"/>
        </w:rPr>
        <w:t xml:space="preserve"> [60,47,17]</w:t>
      </w:r>
    </w:p>
    <w:p w14:paraId="7AF6779D" w14:textId="77777777" w:rsidR="00B77C85" w:rsidRDefault="00781A4D">
      <w:pPr>
        <w:spacing w:before="120" w:after="160" w:line="340" w:lineRule="auto"/>
      </w:pPr>
      <w:r>
        <w:t>The India-developed and validated SCD yoga module — 21 practices filtered from an initial 27 by expert consensus to exclude higher-intensity elements, incorporating loosening exercises, asanas, pranayama, relaxation, and meditation — is designed precisely for this clinical reality. It should be the default mind-body intervention for SCD in India: culturally embedded, low-cost, and evidence-supported.</w:t>
      </w:r>
      <w:r>
        <w:rPr>
          <w:color w:val="555555"/>
          <w:sz w:val="16"/>
          <w:szCs w:val="16"/>
          <w:vertAlign w:val="superscript"/>
        </w:rPr>
        <w:t xml:space="preserve"> [23,48,49]</w:t>
      </w:r>
    </w:p>
    <w:p w14:paraId="7AF6779E" w14:textId="77777777" w:rsidR="00B77C85" w:rsidRDefault="00781A4D">
      <w:pPr>
        <w:spacing w:before="400" w:after="100"/>
      </w:pPr>
      <w:r>
        <w:rPr>
          <w:b/>
          <w:bCs/>
          <w:sz w:val="28"/>
          <w:szCs w:val="28"/>
        </w:rPr>
        <w:t>6.2 Exercise in β-Thalassemia</w:t>
      </w:r>
    </w:p>
    <w:p w14:paraId="7AF6779F" w14:textId="33AD8D45" w:rsidR="00B77C85" w:rsidRDefault="00781A4D">
      <w:pPr>
        <w:spacing w:before="120" w:after="160" w:line="340" w:lineRule="auto"/>
      </w:pPr>
      <w:r>
        <w:t xml:space="preserve">In thalassemia, the VOC-related constraints of SCD are absent, but </w:t>
      </w:r>
      <w:proofErr w:type="spellStart"/>
      <w:r>
        <w:t>anemia</w:t>
      </w:r>
      <w:proofErr w:type="spellEnd"/>
      <w:r>
        <w:t xml:space="preserve"> severity, cardiac iron load, and bone fragility define the exercise parameters. Most patients feel subjectively best in the days following transfusion when </w:t>
      </w:r>
      <w:proofErr w:type="spellStart"/>
      <w:proofErr w:type="gramStart"/>
      <w:r w:rsidR="00BC5036">
        <w:t>heamoglobin</w:t>
      </w:r>
      <w:proofErr w:type="spellEnd"/>
      <w:r w:rsidR="00BC5036">
        <w:t xml:space="preserve"> </w:t>
      </w:r>
      <w:r>
        <w:t xml:space="preserve"> is</w:t>
      </w:r>
      <w:proofErr w:type="gramEnd"/>
      <w:r>
        <w:t xml:space="preserve"> highest — scheduling moderate activity during this window and easing off as pre-transfusion fatigue builds is simple, effective load management.</w:t>
      </w:r>
      <w:r>
        <w:rPr>
          <w:color w:val="555555"/>
          <w:sz w:val="16"/>
          <w:szCs w:val="16"/>
          <w:vertAlign w:val="superscript"/>
        </w:rPr>
        <w:t xml:space="preserve"> [30,50]</w:t>
      </w:r>
    </w:p>
    <w:p w14:paraId="7AF677A0" w14:textId="77777777" w:rsidR="00B77C85" w:rsidRDefault="00781A4D">
      <w:pPr>
        <w:spacing w:before="120" w:after="160" w:line="340" w:lineRule="auto"/>
      </w:pPr>
      <w:r>
        <w:t>Cardiology clearance — echocardiogram, iron status assessment — is the responsible starting point for adults before beginning structured exercise. The goal is to sequence this into existing clinic visits rather than creating additional burden. Activities: walking on flat terrain, low-impact cycling, traditional games at low intensity, supervised resistance training using bodyweight or light resistance bands to support muscle mass and bone density.</w:t>
      </w:r>
      <w:r>
        <w:rPr>
          <w:color w:val="555555"/>
          <w:sz w:val="16"/>
          <w:szCs w:val="16"/>
          <w:vertAlign w:val="superscript"/>
        </w:rPr>
        <w:t xml:space="preserve"> [20,50]</w:t>
      </w:r>
    </w:p>
    <w:p w14:paraId="7AF677A1" w14:textId="77777777" w:rsidR="00B77C85" w:rsidRDefault="00781A4D">
      <w:pPr>
        <w:spacing w:before="400" w:after="100"/>
      </w:pPr>
      <w:r>
        <w:rPr>
          <w:b/>
          <w:bCs/>
          <w:sz w:val="28"/>
          <w:szCs w:val="28"/>
        </w:rPr>
        <w:t>6.3 Indian Climate Adaptations</w:t>
      </w:r>
    </w:p>
    <w:p w14:paraId="7AF677A2" w14:textId="77777777" w:rsidR="00B77C85" w:rsidRDefault="00781A4D">
      <w:pPr>
        <w:spacing w:before="120" w:after="160" w:line="340" w:lineRule="auto"/>
      </w:pPr>
      <w:r>
        <w:t>India's climate creates predictable seasonal challenges that must be scheduled around, not treated as exceptions. Summer heat (April–June) compresses the safe exercise window to early morning and late evening. Monsoon humidity increases dehydration risk even at low intensity. Northern winter creates vasoconstriction risk in SCD. These are not complications — they are variables. Seasonal adjustment is part of the protocol.</w:t>
      </w:r>
    </w:p>
    <w:p w14:paraId="7AF677A3" w14:textId="4BED7162" w:rsidR="00B77C85" w:rsidRDefault="00781A4D">
      <w:pPr>
        <w:spacing w:before="120" w:after="160" w:line="340" w:lineRule="auto"/>
      </w:pPr>
      <w:r>
        <w:lastRenderedPageBreak/>
        <w:t xml:space="preserve">In villages: walking routes timed to avoid peak heat, agricultural activities modulated by disease phase and </w:t>
      </w:r>
      <w:proofErr w:type="spellStart"/>
      <w:proofErr w:type="gramStart"/>
      <w:r w:rsidR="00BC5036">
        <w:t>heamoglobin</w:t>
      </w:r>
      <w:proofErr w:type="spellEnd"/>
      <w:r w:rsidR="00BC5036">
        <w:t xml:space="preserve"> </w:t>
      </w:r>
      <w:r>
        <w:t xml:space="preserve"> level</w:t>
      </w:r>
      <w:proofErr w:type="gramEnd"/>
      <w:r>
        <w:t>, traditional dance forms at low intensity as culturally embedded aerobic movement. In urban settings: indoor walking, stair climbing within tolerance, yoga routines via ASHA demonstrations or free mobile content.</w:t>
      </w:r>
      <w:r>
        <w:rPr>
          <w:color w:val="555555"/>
          <w:sz w:val="16"/>
          <w:szCs w:val="16"/>
          <w:vertAlign w:val="superscript"/>
        </w:rPr>
        <w:t xml:space="preserve"> [34,23]</w:t>
      </w:r>
    </w:p>
    <w:p w14:paraId="7AF677A4" w14:textId="77777777" w:rsidR="00B77C85" w:rsidRDefault="00B77C85">
      <w:pPr>
        <w:spacing w:before="80" w:after="80"/>
      </w:pPr>
    </w:p>
    <w:p w14:paraId="7AF677A5" w14:textId="77777777" w:rsidR="00B77C85" w:rsidRDefault="00781A4D">
      <w:pPr>
        <w:pBdr>
          <w:bottom w:val="single" w:sz="8" w:space="4" w:color="9A7B2F"/>
        </w:pBdr>
        <w:spacing w:before="560" w:after="120"/>
      </w:pPr>
      <w:r>
        <w:rPr>
          <w:b/>
          <w:bCs/>
          <w:sz w:val="36"/>
          <w:szCs w:val="36"/>
        </w:rPr>
        <w:t>7. Daily Life Architecture</w:t>
      </w:r>
    </w:p>
    <w:p w14:paraId="7AF677A6" w14:textId="77777777" w:rsidR="00B77C85" w:rsidRDefault="00781A4D">
      <w:pPr>
        <w:spacing w:before="120" w:after="160" w:line="340" w:lineRule="auto"/>
      </w:pPr>
      <w:r>
        <w:t>What you do once matters far less than what you do consistently. The architecture of a day — its rhythms, defaults, and anchors — determines far more than individual decisions. The goal is not an ideal routine. It is a resilient one.</w:t>
      </w:r>
    </w:p>
    <w:p w14:paraId="7AF677A7" w14:textId="77777777" w:rsidR="00B77C85" w:rsidRDefault="00781A4D">
      <w:pPr>
        <w:pBdr>
          <w:left w:val="thick" w:sz="16" w:space="14" w:color="9A7B2F"/>
        </w:pBdr>
        <w:spacing w:before="280" w:after="280" w:line="360" w:lineRule="auto"/>
        <w:ind w:left="720" w:right="480"/>
      </w:pPr>
      <w:r>
        <w:rPr>
          <w:i/>
          <w:iCs/>
          <w:color w:val="9A7B2F"/>
        </w:rPr>
        <w:t>Design your defaults. On hard days — and there will be hard days — you won't have energy for good decisions. You'll only have the infrastructure you built on good days.</w:t>
      </w:r>
    </w:p>
    <w:p w14:paraId="7AF677A8" w14:textId="77777777" w:rsidR="00B77C85" w:rsidRDefault="00781A4D">
      <w:pPr>
        <w:spacing w:before="400" w:after="100"/>
      </w:pPr>
      <w:r>
        <w:rPr>
          <w:b/>
          <w:bCs/>
          <w:sz w:val="28"/>
          <w:szCs w:val="28"/>
        </w:rPr>
        <w:t>7.1 Circadian Alignment</w:t>
      </w:r>
    </w:p>
    <w:p w14:paraId="7AF677A9" w14:textId="77777777" w:rsidR="00B77C85" w:rsidRDefault="00781A4D">
      <w:pPr>
        <w:spacing w:before="120" w:after="160" w:line="340" w:lineRule="auto"/>
      </w:pPr>
      <w:r>
        <w:t>Regular wake and sleep times, morning light exposure, and consistent meal timings improve sleep quality, metabolic regulation, and inflammatory rhythms in chronic disease — influencing pain thresholds and fatigue levels through cortisol, melatonin, and autonomic tone pathways.</w:t>
      </w:r>
      <w:r>
        <w:rPr>
          <w:color w:val="555555"/>
          <w:sz w:val="16"/>
          <w:szCs w:val="16"/>
          <w:vertAlign w:val="superscript"/>
        </w:rPr>
        <w:t xml:space="preserve"> [24,49]</w:t>
      </w:r>
    </w:p>
    <w:p w14:paraId="7AF677AA" w14:textId="77777777" w:rsidR="00B77C85" w:rsidRDefault="00781A4D">
      <w:pPr>
        <w:spacing w:before="120" w:after="160" w:line="340" w:lineRule="auto"/>
      </w:pPr>
      <w:r>
        <w:t>Core daily rhythm:</w:t>
      </w:r>
    </w:p>
    <w:p w14:paraId="7AF677AB" w14:textId="77777777" w:rsidR="00B77C85" w:rsidRDefault="00781A4D">
      <w:pPr>
        <w:spacing w:before="120" w:after="160" w:line="340" w:lineRule="auto"/>
      </w:pPr>
      <w:r>
        <w:rPr>
          <w:b/>
          <w:bCs/>
        </w:rPr>
        <w:t xml:space="preserve">Early morning: </w:t>
      </w:r>
      <w:r>
        <w:t>Wake, drink water before anything else, 5 minutes of gentle stretching or slow nasal breathing. Light breakfast within 1–2 hours — prolonged fasting creates metabolic and dehydration stress that a body with impaired compensatory mechanisms handles poorly.</w:t>
      </w:r>
      <w:r>
        <w:rPr>
          <w:color w:val="555555"/>
          <w:sz w:val="16"/>
          <w:szCs w:val="16"/>
          <w:vertAlign w:val="superscript"/>
        </w:rPr>
        <w:t xml:space="preserve"> [60,38]</w:t>
      </w:r>
    </w:p>
    <w:p w14:paraId="7AF677AC" w14:textId="77777777" w:rsidR="00B77C85" w:rsidRDefault="00781A4D">
      <w:pPr>
        <w:spacing w:before="120" w:after="160" w:line="340" w:lineRule="auto"/>
      </w:pPr>
      <w:r>
        <w:rPr>
          <w:b/>
          <w:bCs/>
        </w:rPr>
        <w:t xml:space="preserve">Mid-morning to early afternoon: </w:t>
      </w:r>
      <w:r>
        <w:t>Main work and education period. Schedule transfusions and clinic visits early in the day to minimize waiting stress and heat exposure.</w:t>
      </w:r>
    </w:p>
    <w:p w14:paraId="7AF677AD" w14:textId="77777777" w:rsidR="00B77C85" w:rsidRDefault="00781A4D">
      <w:pPr>
        <w:spacing w:before="120" w:after="160" w:line="340" w:lineRule="auto"/>
      </w:pPr>
      <w:r>
        <w:rPr>
          <w:b/>
          <w:bCs/>
        </w:rPr>
        <w:t xml:space="preserve">Mid-afternoon: </w:t>
      </w:r>
      <w:r>
        <w:t>Rest in shade or indoors during peak heat. This is thermal management, not laziness — heat stress imposes real physiological cost in these conditions.</w:t>
      </w:r>
    </w:p>
    <w:p w14:paraId="7AF677AE" w14:textId="77777777" w:rsidR="00B77C85" w:rsidRDefault="00781A4D">
      <w:pPr>
        <w:spacing w:before="120" w:after="160" w:line="340" w:lineRule="auto"/>
      </w:pPr>
      <w:r>
        <w:rPr>
          <w:b/>
          <w:bCs/>
        </w:rPr>
        <w:t xml:space="preserve">Evening: </w:t>
      </w:r>
      <w:r>
        <w:t>Light physical activity or yoga. Main family meal. Wind-down with minimal screen exposure before sleep.</w:t>
      </w:r>
    </w:p>
    <w:p w14:paraId="7AF677AF" w14:textId="77777777" w:rsidR="00B77C85" w:rsidRDefault="00781A4D">
      <w:pPr>
        <w:spacing w:before="400" w:after="100"/>
      </w:pPr>
      <w:r>
        <w:rPr>
          <w:b/>
          <w:bCs/>
          <w:sz w:val="28"/>
          <w:szCs w:val="28"/>
        </w:rPr>
        <w:t>7.2 Hydration as Clinical Practice</w:t>
      </w:r>
    </w:p>
    <w:p w14:paraId="7AF677B0" w14:textId="4388BC23" w:rsidR="00B77C85" w:rsidRDefault="00781A4D">
      <w:pPr>
        <w:spacing w:before="120" w:after="160" w:line="340" w:lineRule="auto"/>
      </w:pPr>
      <w:r>
        <w:lastRenderedPageBreak/>
        <w:t xml:space="preserve">For SCD specifically: hyposthenuria — the kidneys' impaired ability to concentrate urine — substantially increases baseline fluid requirements. Adequate hydration directly reduces HbS concentration, lowers mean corpuscular </w:t>
      </w:r>
      <w:proofErr w:type="spellStart"/>
      <w:proofErr w:type="gramStart"/>
      <w:r w:rsidR="00BC5036">
        <w:t>heamoglobin</w:t>
      </w:r>
      <w:proofErr w:type="spellEnd"/>
      <w:r w:rsidR="00BC5036">
        <w:t xml:space="preserve"> </w:t>
      </w:r>
      <w:r>
        <w:t xml:space="preserve"> concentration</w:t>
      </w:r>
      <w:proofErr w:type="gramEnd"/>
      <w:r>
        <w:t>, and decreases polymerization probability — making it one of the most consistently impactful, zero-cost interventions available.</w:t>
      </w:r>
      <w:r>
        <w:rPr>
          <w:color w:val="555555"/>
          <w:sz w:val="16"/>
          <w:szCs w:val="16"/>
          <w:vertAlign w:val="superscript"/>
        </w:rPr>
        <w:t xml:space="preserve"> [5,60]</w:t>
      </w:r>
    </w:p>
    <w:p w14:paraId="7AF677B1" w14:textId="77777777" w:rsidR="00B77C85" w:rsidRDefault="00781A4D">
      <w:pPr>
        <w:spacing w:before="120" w:after="160" w:line="340" w:lineRule="auto"/>
      </w:pPr>
      <w:r>
        <w:t xml:space="preserve">The practical target for stable adults — 30–40 ml per kg per day, increased in heat and with exertion — translates into simple </w:t>
      </w:r>
      <w:proofErr w:type="spellStart"/>
      <w:r>
        <w:t>behavioral</w:t>
      </w:r>
      <w:proofErr w:type="spellEnd"/>
      <w:r>
        <w:t xml:space="preserve"> anchors: one glass at waking, one with each meal, one before bed. Additional intake every 1–2 hours during heat or physical </w:t>
      </w:r>
      <w:proofErr w:type="spellStart"/>
      <w:r>
        <w:t>labor</w:t>
      </w:r>
      <w:proofErr w:type="spellEnd"/>
      <w:r>
        <w:t>.</w:t>
      </w:r>
    </w:p>
    <w:p w14:paraId="7AF677B2" w14:textId="77777777" w:rsidR="00B77C85" w:rsidRDefault="00781A4D">
      <w:pPr>
        <w:spacing w:before="120" w:after="160" w:line="340" w:lineRule="auto"/>
      </w:pPr>
      <w:r>
        <w:t xml:space="preserve">Best hydrating options in the Indian context: coconut water (natural electrolytes, potassium, magnesium), </w:t>
      </w:r>
      <w:proofErr w:type="spellStart"/>
      <w:r>
        <w:t>nimbu</w:t>
      </w:r>
      <w:proofErr w:type="spellEnd"/>
      <w:r>
        <w:t xml:space="preserve"> </w:t>
      </w:r>
      <w:proofErr w:type="spellStart"/>
      <w:r>
        <w:t>pani</w:t>
      </w:r>
      <w:proofErr w:type="spellEnd"/>
      <w:r>
        <w:t>, buttermilk (electrolytes and probiotics), thin dal water, rice kanji. These are the traditional hydration solutions that predated packaged beverages and remain superior to most commercial alternatives.</w:t>
      </w:r>
    </w:p>
    <w:p w14:paraId="7AF677B3" w14:textId="77777777" w:rsidR="00B77C85" w:rsidRDefault="00781A4D">
      <w:pPr>
        <w:spacing w:before="400" w:after="100"/>
      </w:pPr>
      <w:r>
        <w:rPr>
          <w:b/>
          <w:bCs/>
          <w:sz w:val="28"/>
          <w:szCs w:val="28"/>
        </w:rPr>
        <w:t>7.3 Sleep as Medicine</w:t>
      </w:r>
    </w:p>
    <w:p w14:paraId="7AF677B4" w14:textId="77777777" w:rsidR="00B77C85" w:rsidRDefault="00781A4D">
      <w:pPr>
        <w:spacing w:before="120" w:after="160" w:line="340" w:lineRule="auto"/>
      </w:pPr>
      <w:r>
        <w:t>Sleep disruption in SCD is a measurable clinical problem — not just discomfort. Poor sleep raises circulating IL-6 and TNF-α, lowers pain thresholds through central sensitization, and worsens metabolic regulation in a feedback loop that may increase VOC frequency. In β-thalassemia, sleep disruption from transfusion schedules, chelation side effects, and endocrine dysfunction imposes additional biological cost.</w:t>
      </w:r>
      <w:r>
        <w:rPr>
          <w:color w:val="555555"/>
          <w:sz w:val="16"/>
          <w:szCs w:val="16"/>
          <w:vertAlign w:val="superscript"/>
        </w:rPr>
        <w:t xml:space="preserve"> [24,49,14]</w:t>
      </w:r>
    </w:p>
    <w:p w14:paraId="7AF677B5" w14:textId="77777777" w:rsidR="00B77C85" w:rsidRDefault="00781A4D">
      <w:pPr>
        <w:spacing w:before="120" w:after="160" w:line="340" w:lineRule="auto"/>
      </w:pPr>
      <w:r>
        <w:t>The practical protocol: regular bedtime and wake time; pre-sleep sequence of dimmed lights, limited media, 5–10 minutes of slow nasal breathing (equal inhale and exhale through the nose), and room cooling where possible. Family education normalizing rest as clinical management — not laziness — is often more valuable than any supplement.</w:t>
      </w:r>
    </w:p>
    <w:p w14:paraId="7AF677B6" w14:textId="77777777" w:rsidR="00B77C85" w:rsidRDefault="00781A4D">
      <w:pPr>
        <w:spacing w:before="120" w:after="160" w:line="340" w:lineRule="auto"/>
      </w:pPr>
      <w:r>
        <w:t>5–10 minutes of slow breathing practiced twice daily reduces sympathetic arousal through vagal activation, modulating the inflammatory and pain pathways that are central to both conditions. This is mechanistically identical to pranayama — the evidence base and the traditional practice converge, making adoption in Indian households naturalistic rather than imposed.</w:t>
      </w:r>
      <w:r>
        <w:rPr>
          <w:color w:val="555555"/>
          <w:sz w:val="16"/>
          <w:szCs w:val="16"/>
          <w:vertAlign w:val="superscript"/>
        </w:rPr>
        <w:t xml:space="preserve"> [23,24]</w:t>
      </w:r>
    </w:p>
    <w:p w14:paraId="7AF677B7" w14:textId="77777777" w:rsidR="00B77C85" w:rsidRDefault="00B77C85">
      <w:pPr>
        <w:spacing w:before="80" w:after="80"/>
      </w:pPr>
    </w:p>
    <w:p w14:paraId="7AF677B8" w14:textId="77777777" w:rsidR="00B77C85" w:rsidRDefault="00781A4D">
      <w:pPr>
        <w:pBdr>
          <w:bottom w:val="single" w:sz="8" w:space="4" w:color="9A7B2F"/>
        </w:pBdr>
        <w:spacing w:before="560" w:after="120"/>
      </w:pPr>
      <w:r>
        <w:rPr>
          <w:b/>
          <w:bCs/>
          <w:sz w:val="36"/>
          <w:szCs w:val="36"/>
        </w:rPr>
        <w:t>8. Monitoring and Feedback System</w:t>
      </w:r>
    </w:p>
    <w:p w14:paraId="7AF677B9" w14:textId="77777777" w:rsidR="00B77C85" w:rsidRDefault="00781A4D">
      <w:pPr>
        <w:spacing w:before="120" w:after="160" w:line="340" w:lineRule="auto"/>
      </w:pPr>
      <w:r>
        <w:t>A system without feedback is a belief. A system with feedback is a science. The monitoring architecture must be tiered to what is actually available — providing meaningful feedback loops at every resource level from a smartphone to a tertiary laboratory.</w:t>
      </w:r>
    </w:p>
    <w:p w14:paraId="7AF677BA" w14:textId="77777777" w:rsidR="00B77C85" w:rsidRDefault="00781A4D">
      <w:pPr>
        <w:spacing w:before="400" w:after="100"/>
      </w:pPr>
      <w:r>
        <w:rPr>
          <w:b/>
          <w:bCs/>
          <w:sz w:val="28"/>
          <w:szCs w:val="28"/>
        </w:rPr>
        <w:lastRenderedPageBreak/>
        <w:t>8.1 Self-Monitoring (No Lab Access Required)</w:t>
      </w:r>
    </w:p>
    <w:p w14:paraId="7AF677BB" w14:textId="77777777" w:rsidR="00B77C85" w:rsidRDefault="00781A4D">
      <w:pPr>
        <w:spacing w:before="120" w:after="160" w:line="340" w:lineRule="auto"/>
      </w:pPr>
      <w:r>
        <w:t xml:space="preserve">Simple daily or weekly tracking using pictorial or color-coded charts: pain episodes (location, intensity 0–10), fever, breathlessness, fatigue, appetite, sleep quality. Track whether core </w:t>
      </w:r>
      <w:proofErr w:type="spellStart"/>
      <w:r>
        <w:t>behavioral</w:t>
      </w:r>
      <w:proofErr w:type="spellEnd"/>
      <w:r>
        <w:t xml:space="preserve"> commitments occurred — target water intake, pulses at two meals, vegetables daily, movement on green days. This creates the fundamental feedback loop: did I do the things that matter today?</w:t>
      </w:r>
    </w:p>
    <w:p w14:paraId="7AF677BC" w14:textId="77777777" w:rsidR="00B77C85" w:rsidRDefault="00781A4D">
      <w:pPr>
        <w:spacing w:before="400" w:after="100"/>
      </w:pPr>
      <w:r>
        <w:rPr>
          <w:b/>
          <w:bCs/>
          <w:sz w:val="28"/>
          <w:szCs w:val="28"/>
        </w:rPr>
        <w:t>8.2 Community Health Worker Level</w:t>
      </w:r>
    </w:p>
    <w:p w14:paraId="7AF677BD" w14:textId="5C86779A" w:rsidR="00B77C85" w:rsidRDefault="00781A4D">
      <w:pPr>
        <w:spacing w:before="120" w:after="160" w:line="340" w:lineRule="auto"/>
      </w:pPr>
      <w:r>
        <w:t xml:space="preserve">CHOs and ASHAs following national SCD and </w:t>
      </w:r>
      <w:proofErr w:type="spellStart"/>
      <w:r w:rsidR="00BC5036">
        <w:t>heamoglobin</w:t>
      </w:r>
      <w:proofErr w:type="spellEnd"/>
      <w:r w:rsidR="00BC5036">
        <w:t xml:space="preserve"> </w:t>
      </w:r>
      <w:proofErr w:type="spellStart"/>
      <w:r>
        <w:t>opathy</w:t>
      </w:r>
      <w:proofErr w:type="spellEnd"/>
      <w:r>
        <w:t xml:space="preserve"> modules already monitor hydroxyurea adherence, penicillin prophylaxis, and transfusion schedules. Adding standardized questions about diet diversity, hydration, and physical activity is minimal additional burden with high additional signal. Quarterly weight, height, and MUAC measurements in children capture growth trajectory. Six-minute walk distance tests track functional capacity trends where feasible.</w:t>
      </w:r>
      <w:r>
        <w:rPr>
          <w:color w:val="555555"/>
          <w:sz w:val="16"/>
          <w:szCs w:val="16"/>
          <w:vertAlign w:val="superscript"/>
        </w:rPr>
        <w:t xml:space="preserve"> [29,38]</w:t>
      </w:r>
    </w:p>
    <w:p w14:paraId="7AF677BE" w14:textId="77777777" w:rsidR="00B77C85" w:rsidRDefault="00781A4D">
      <w:pPr>
        <w:spacing w:before="400" w:after="100"/>
      </w:pPr>
      <w:r>
        <w:rPr>
          <w:b/>
          <w:bCs/>
          <w:sz w:val="28"/>
          <w:szCs w:val="28"/>
        </w:rPr>
        <w:t>8.3 Tertiary Care Level</w:t>
      </w:r>
    </w:p>
    <w:p w14:paraId="7AF677BF" w14:textId="0432D1E6" w:rsidR="00B77C85" w:rsidRDefault="00781A4D">
      <w:pPr>
        <w:spacing w:before="120" w:after="160" w:line="340" w:lineRule="auto"/>
      </w:pPr>
      <w:r>
        <w:t xml:space="preserve">Full guideline-level monitoring: </w:t>
      </w:r>
      <w:proofErr w:type="spellStart"/>
      <w:proofErr w:type="gramStart"/>
      <w:r w:rsidR="00BC5036">
        <w:t>heamoglobin</w:t>
      </w:r>
      <w:proofErr w:type="spellEnd"/>
      <w:r w:rsidR="00BC5036">
        <w:t xml:space="preserve"> </w:t>
      </w:r>
      <w:r>
        <w:t>,</w:t>
      </w:r>
      <w:proofErr w:type="gramEnd"/>
      <w:r>
        <w:t xml:space="preserve"> reticulocyte count, ferritin, liver iron by MRI in thalassemia, renal and liver function, endocrine profile, vitamin D, and zinc levels. These data convert generic recommendations into precision interventions — a measured severe vitamin D deficiency changes the urgency of weight-bearing exercise and supplementation; a rising ferritin in NTDT changes the urgency of dietary iron restriction.</w:t>
      </w:r>
      <w:r>
        <w:rPr>
          <w:color w:val="555555"/>
          <w:sz w:val="16"/>
          <w:szCs w:val="16"/>
          <w:vertAlign w:val="superscript"/>
        </w:rPr>
        <w:t xml:space="preserve"> [13,14,15,50]</w:t>
      </w:r>
    </w:p>
    <w:p w14:paraId="7AF677C0" w14:textId="77777777" w:rsidR="00B77C85" w:rsidRDefault="00781A4D">
      <w:pPr>
        <w:spacing w:before="400" w:after="100"/>
      </w:pPr>
      <w:r>
        <w:rPr>
          <w:b/>
          <w:bCs/>
          <w:sz w:val="28"/>
          <w:szCs w:val="28"/>
        </w:rPr>
        <w:t>8.4 Feedback Rules</w:t>
      </w:r>
    </w:p>
    <w:p w14:paraId="7AF677C1" w14:textId="77777777" w:rsidR="00B77C85" w:rsidRDefault="00781A4D">
      <w:pPr>
        <w:spacing w:before="120" w:after="160" w:line="340" w:lineRule="auto"/>
      </w:pPr>
      <w:r>
        <w:rPr>
          <w:b/>
          <w:bCs/>
        </w:rPr>
        <w:t xml:space="preserve">Overexertion signal in SCD: </w:t>
      </w:r>
      <w:r>
        <w:t>VOC within 24–48 hours of higher-intensity activity, marked post-exertional fatigue, or new chest pain. Step back to lower intensity for the subsequent period and reassess systematically.</w:t>
      </w:r>
      <w:r>
        <w:rPr>
          <w:color w:val="555555"/>
          <w:sz w:val="16"/>
          <w:szCs w:val="16"/>
          <w:vertAlign w:val="superscript"/>
        </w:rPr>
        <w:t xml:space="preserve"> [47,18]</w:t>
      </w:r>
    </w:p>
    <w:p w14:paraId="7AF677C2" w14:textId="77777777" w:rsidR="00B77C85" w:rsidRDefault="00781A4D">
      <w:pPr>
        <w:spacing w:before="120" w:after="160" w:line="340" w:lineRule="auto"/>
      </w:pPr>
      <w:r>
        <w:rPr>
          <w:b/>
          <w:bCs/>
        </w:rPr>
        <w:t xml:space="preserve">Undernutrition signal: </w:t>
      </w:r>
      <w:r>
        <w:t>Progressive weight loss, stalled growth in children, declining muscle mass, escalating fatigue. Increase staple and protein portions, add cooking fat, refer to dietitian where accessible.</w:t>
      </w:r>
      <w:r>
        <w:rPr>
          <w:color w:val="555555"/>
          <w:sz w:val="16"/>
          <w:szCs w:val="16"/>
          <w:vertAlign w:val="superscript"/>
        </w:rPr>
        <w:t xml:space="preserve"> [9,32]</w:t>
      </w:r>
    </w:p>
    <w:p w14:paraId="7AF677C3" w14:textId="77777777" w:rsidR="00B77C85" w:rsidRDefault="00781A4D">
      <w:pPr>
        <w:spacing w:before="120" w:after="160" w:line="340" w:lineRule="auto"/>
      </w:pPr>
      <w:r>
        <w:rPr>
          <w:b/>
          <w:bCs/>
        </w:rPr>
        <w:t xml:space="preserve">Micronutrient deficiency signal: </w:t>
      </w:r>
      <w:r>
        <w:t>Bone pain, fractures, delayed puberty, recurrent infections, persistently low mood. Check labs when possible; empiric supplementation with low-risk agents (zinc, vitamin D, B12) in high-risk settings guided by national or TIF norms.</w:t>
      </w:r>
      <w:r>
        <w:rPr>
          <w:color w:val="555555"/>
          <w:sz w:val="16"/>
          <w:szCs w:val="16"/>
          <w:vertAlign w:val="superscript"/>
        </w:rPr>
        <w:t xml:space="preserve"> [14,13,20]</w:t>
      </w:r>
    </w:p>
    <w:p w14:paraId="7AF677C4" w14:textId="77777777" w:rsidR="00B77C85" w:rsidRDefault="00B77C85">
      <w:pPr>
        <w:spacing w:before="80" w:after="80"/>
      </w:pPr>
    </w:p>
    <w:p w14:paraId="7AF677C5" w14:textId="77777777" w:rsidR="00B77C85" w:rsidRDefault="00781A4D">
      <w:pPr>
        <w:pBdr>
          <w:bottom w:val="single" w:sz="8" w:space="4" w:color="9A7B2F"/>
        </w:pBdr>
        <w:spacing w:before="560" w:after="120"/>
      </w:pPr>
      <w:r>
        <w:rPr>
          <w:b/>
          <w:bCs/>
          <w:sz w:val="36"/>
          <w:szCs w:val="36"/>
        </w:rPr>
        <w:lastRenderedPageBreak/>
        <w:t xml:space="preserve">9. </w:t>
      </w:r>
      <w:proofErr w:type="spellStart"/>
      <w:r>
        <w:rPr>
          <w:b/>
          <w:bCs/>
          <w:sz w:val="36"/>
          <w:szCs w:val="36"/>
        </w:rPr>
        <w:t>Behavioral</w:t>
      </w:r>
      <w:proofErr w:type="spellEnd"/>
      <w:r>
        <w:rPr>
          <w:b/>
          <w:bCs/>
          <w:sz w:val="36"/>
          <w:szCs w:val="36"/>
        </w:rPr>
        <w:t xml:space="preserve"> and Psychological Architecture</w:t>
      </w:r>
    </w:p>
    <w:p w14:paraId="7AF677C6" w14:textId="77777777" w:rsidR="00B77C85" w:rsidRDefault="00781A4D">
      <w:pPr>
        <w:spacing w:before="120" w:after="160" w:line="340" w:lineRule="auto"/>
      </w:pPr>
      <w:r>
        <w:t xml:space="preserve">Biology tells you what the body needs. Psychology tells you what the person will actually do. The most scientifically precise protocol in the world has zero impact if it is presented as an unbearable burden, or if it describes </w:t>
      </w:r>
      <w:proofErr w:type="spellStart"/>
      <w:r>
        <w:t>behaviors</w:t>
      </w:r>
      <w:proofErr w:type="spellEnd"/>
      <w:r>
        <w:t xml:space="preserve"> that are impossible in the person's actual life.</w:t>
      </w:r>
    </w:p>
    <w:p w14:paraId="7AF677C7" w14:textId="77777777" w:rsidR="00B77C85" w:rsidRDefault="00781A4D">
      <w:pPr>
        <w:pBdr>
          <w:left w:val="thick" w:sz="16" w:space="14" w:color="9A7B2F"/>
        </w:pBdr>
        <w:spacing w:before="280" w:after="280" w:line="360" w:lineRule="auto"/>
        <w:ind w:left="720" w:right="480"/>
      </w:pPr>
      <w:r>
        <w:rPr>
          <w:i/>
          <w:iCs/>
          <w:color w:val="9A7B2F"/>
        </w:rPr>
        <w:t>Self-efficacy is not a soft factor. It is the lever that determines whether all the other levers get pulled.</w:t>
      </w:r>
    </w:p>
    <w:p w14:paraId="7AF677C8" w14:textId="77777777" w:rsidR="00B77C85" w:rsidRDefault="00781A4D">
      <w:pPr>
        <w:spacing w:before="400" w:after="100"/>
      </w:pPr>
      <w:r>
        <w:rPr>
          <w:b/>
          <w:bCs/>
          <w:sz w:val="28"/>
          <w:szCs w:val="28"/>
        </w:rPr>
        <w:t>9.1 Chronic Illness Psychology</w:t>
      </w:r>
    </w:p>
    <w:p w14:paraId="7AF677C9" w14:textId="77777777" w:rsidR="00B77C85" w:rsidRDefault="00781A4D">
      <w:pPr>
        <w:spacing w:before="120" w:after="160" w:line="340" w:lineRule="auto"/>
      </w:pPr>
      <w:r>
        <w:t xml:space="preserve">Chronic genetic disease reshapes identity, perceived control, and family roles. Low self-efficacy, catastrophizing, and internalized stigma worsen symptom perception, treatment adherence, and depression through well-characterized neurobiological mechanisms — not through weakness of character. In India, these conditions additionally intersect with caste, tribal identity, and marriage prospects, creating social pressures that suppress disclosure, delay care, and generate resistance to genetic </w:t>
      </w:r>
      <w:proofErr w:type="spellStart"/>
      <w:r>
        <w:t>counseling</w:t>
      </w:r>
      <w:proofErr w:type="spellEnd"/>
      <w:r>
        <w:t>.</w:t>
      </w:r>
      <w:r>
        <w:rPr>
          <w:color w:val="555555"/>
          <w:sz w:val="16"/>
          <w:szCs w:val="16"/>
          <w:vertAlign w:val="superscript"/>
        </w:rPr>
        <w:t xml:space="preserve"> [56,57,24]</w:t>
      </w:r>
    </w:p>
    <w:p w14:paraId="7AF677CA" w14:textId="77777777" w:rsidR="00B77C85" w:rsidRDefault="00781A4D">
      <w:pPr>
        <w:spacing w:before="120" w:after="160" w:line="340" w:lineRule="auto"/>
      </w:pPr>
      <w:r>
        <w:t>Adolescents face three simultaneous pressures — appear normal to peers, maintain academic performance, meet family expectations — while managing pain, transfusion schedules, and fatigue. This is not incidental context. It is the explanation for precisely why adherence breaks down at exactly the age it matters most.</w:t>
      </w:r>
      <w:r>
        <w:rPr>
          <w:color w:val="555555"/>
          <w:sz w:val="16"/>
          <w:szCs w:val="16"/>
          <w:vertAlign w:val="superscript"/>
        </w:rPr>
        <w:t xml:space="preserve"> [56,57]</w:t>
      </w:r>
    </w:p>
    <w:p w14:paraId="7AF677CB" w14:textId="77777777" w:rsidR="00B77C85" w:rsidRDefault="00781A4D">
      <w:pPr>
        <w:spacing w:before="400" w:after="100"/>
      </w:pPr>
      <w:r>
        <w:rPr>
          <w:b/>
          <w:bCs/>
          <w:sz w:val="28"/>
          <w:szCs w:val="28"/>
        </w:rPr>
        <w:t>9.2 Designing for Agency, Not Compliance</w:t>
      </w:r>
    </w:p>
    <w:p w14:paraId="7AF677CC" w14:textId="77777777" w:rsidR="00B77C85" w:rsidRDefault="00781A4D">
      <w:pPr>
        <w:spacing w:before="120" w:after="160" w:line="340" w:lineRule="auto"/>
      </w:pPr>
      <w:r>
        <w:t>The framing of a lifestyle protocol determines whether it will be followed. A list of prohibitions feels like punishment. A system explicitly designed to protect energy and reduce crises — enabling school, work, and family life — is motivating. The reframe is accurate, not merely motivational.</w:t>
      </w:r>
    </w:p>
    <w:p w14:paraId="7AF677CD" w14:textId="77777777" w:rsidR="00B77C85" w:rsidRDefault="00781A4D">
      <w:pPr>
        <w:spacing w:before="120" w:after="160" w:line="340" w:lineRule="auto"/>
      </w:pPr>
      <w:r>
        <w:t>Implementation intentions: 'After brushing teeth I drink one brass glass of water; after lunch I walk five minutes in shade.' Specific, concrete, tied to an existing cue. Decision fatigue disappears when there is no decision to make.</w:t>
      </w:r>
      <w:r>
        <w:rPr>
          <w:color w:val="555555"/>
          <w:sz w:val="16"/>
          <w:szCs w:val="16"/>
          <w:vertAlign w:val="superscript"/>
        </w:rPr>
        <w:t xml:space="preserve"> [17,24]</w:t>
      </w:r>
    </w:p>
    <w:p w14:paraId="7AF677CE" w14:textId="77777777" w:rsidR="00B77C85" w:rsidRDefault="00781A4D">
      <w:pPr>
        <w:spacing w:before="120" w:after="160" w:line="340" w:lineRule="auto"/>
      </w:pPr>
      <w:r>
        <w:t xml:space="preserve">Family-based contracts: In joint family structures, individual </w:t>
      </w:r>
      <w:proofErr w:type="spellStart"/>
      <w:r>
        <w:t>behavior</w:t>
      </w:r>
      <w:proofErr w:type="spellEnd"/>
      <w:r>
        <w:t xml:space="preserve"> is embedded in collective norms. Agreeing simple shared rules — no indoor smoking, water with every meal — converts individual burden into collective practice. This is </w:t>
      </w:r>
      <w:proofErr w:type="spellStart"/>
      <w:r>
        <w:t>behavioral</w:t>
      </w:r>
      <w:proofErr w:type="spellEnd"/>
      <w:r>
        <w:t xml:space="preserve"> design suited to the actual social architecture of Indian households.</w:t>
      </w:r>
    </w:p>
    <w:p w14:paraId="7AF677CF" w14:textId="77777777" w:rsidR="00B77C85" w:rsidRDefault="00781A4D">
      <w:pPr>
        <w:spacing w:before="120" w:after="160" w:line="340" w:lineRule="auto"/>
      </w:pPr>
      <w:r>
        <w:lastRenderedPageBreak/>
        <w:t>Peer support: Offline or WhatsApp groups through ASHAs or clinics where patients share practical strategies for managing pain days, nutrition in difficult circumstances, and identity questions. Peer experience has a credibility that clinical advice often cannot match.</w:t>
      </w:r>
      <w:r>
        <w:rPr>
          <w:color w:val="555555"/>
          <w:sz w:val="16"/>
          <w:szCs w:val="16"/>
          <w:vertAlign w:val="superscript"/>
        </w:rPr>
        <w:t xml:space="preserve"> [29,38]</w:t>
      </w:r>
    </w:p>
    <w:p w14:paraId="7AF677D0" w14:textId="77777777" w:rsidR="00B77C85" w:rsidRDefault="00781A4D">
      <w:pPr>
        <w:spacing w:before="400" w:after="100"/>
      </w:pPr>
      <w:r>
        <w:rPr>
          <w:b/>
          <w:bCs/>
          <w:sz w:val="28"/>
          <w:szCs w:val="28"/>
        </w:rPr>
        <w:t>9.3 Community Delivery Infrastructure</w:t>
      </w:r>
    </w:p>
    <w:p w14:paraId="7AF677D1" w14:textId="77777777" w:rsidR="00B77C85" w:rsidRDefault="00781A4D">
      <w:pPr>
        <w:spacing w:before="120" w:after="160" w:line="340" w:lineRule="auto"/>
      </w:pPr>
      <w:r>
        <w:t xml:space="preserve">The 3-minute CHO/ASHA </w:t>
      </w:r>
      <w:proofErr w:type="spellStart"/>
      <w:r>
        <w:t>counseling</w:t>
      </w:r>
      <w:proofErr w:type="spellEnd"/>
      <w:r>
        <w:t xml:space="preserve"> script — hydration, dal plus sabzi at two meals, light daily movement, rest — tailored for SCD versus thalassemia with local food examples — is the front-line delivery vehicle for this protocol in most of India. A pictorial household lifestyle card. A monthly group education session at Anganwadi </w:t>
      </w:r>
      <w:proofErr w:type="spellStart"/>
      <w:r>
        <w:t>centers</w:t>
      </w:r>
      <w:proofErr w:type="spellEnd"/>
      <w:r>
        <w:t xml:space="preserve"> rotating nutrition, movement, stress, and stigma themes. These are not inferior compromises — they are the delivery infrastructure that actually reaches the people who need this most.</w:t>
      </w:r>
      <w:r>
        <w:rPr>
          <w:color w:val="555555"/>
          <w:sz w:val="16"/>
          <w:szCs w:val="16"/>
          <w:vertAlign w:val="superscript"/>
        </w:rPr>
        <w:t xml:space="preserve"> [29,38]</w:t>
      </w:r>
    </w:p>
    <w:p w14:paraId="7AF677D2" w14:textId="77777777" w:rsidR="00B77C85" w:rsidRDefault="00B77C85">
      <w:pPr>
        <w:spacing w:before="80" w:after="80"/>
      </w:pPr>
    </w:p>
    <w:p w14:paraId="7AF677D3" w14:textId="77777777" w:rsidR="00B77C85" w:rsidRDefault="00781A4D">
      <w:pPr>
        <w:pBdr>
          <w:bottom w:val="single" w:sz="8" w:space="4" w:color="9A7B2F"/>
        </w:pBdr>
        <w:spacing w:before="560" w:after="120"/>
      </w:pPr>
      <w:r>
        <w:rPr>
          <w:b/>
          <w:bCs/>
          <w:sz w:val="36"/>
          <w:szCs w:val="36"/>
        </w:rPr>
        <w:t>10. Lifecycle Considerations</w:t>
      </w:r>
    </w:p>
    <w:p w14:paraId="7AF677D4" w14:textId="77777777" w:rsidR="00B77C85" w:rsidRDefault="00781A4D">
      <w:pPr>
        <w:spacing w:before="120" w:after="160" w:line="340" w:lineRule="auto"/>
      </w:pPr>
      <w:r>
        <w:t xml:space="preserve">The same disease expresses differently across a life. The needs of a child newly diagnosed are not the needs of an adolescent navigating identity and exams, nor an adult managing pregnancy or physical </w:t>
      </w:r>
      <w:proofErr w:type="spellStart"/>
      <w:r>
        <w:t>labor</w:t>
      </w:r>
      <w:proofErr w:type="spellEnd"/>
      <w:r>
        <w:t>, nor an elder accumulating organ damage. A protocol that doesn't track this arc is a protocol that will fail at some life stage.</w:t>
      </w:r>
    </w:p>
    <w:p w14:paraId="7AF677D5" w14:textId="77777777" w:rsidR="00B77C85" w:rsidRDefault="00781A4D">
      <w:pPr>
        <w:spacing w:before="280" w:after="80"/>
      </w:pPr>
      <w:r>
        <w:rPr>
          <w:b/>
          <w:bCs/>
          <w:i/>
          <w:iCs/>
          <w:color w:val="555555"/>
          <w:sz w:val="24"/>
          <w:szCs w:val="24"/>
        </w:rPr>
        <w:t>Infancy and Early Childhood</w:t>
      </w:r>
    </w:p>
    <w:p w14:paraId="7AF677D6" w14:textId="77777777" w:rsidR="00B77C85" w:rsidRDefault="00781A4D">
      <w:pPr>
        <w:spacing w:before="120" w:after="160" w:line="340" w:lineRule="auto"/>
      </w:pPr>
      <w:r>
        <w:t>SCD: Exclusive breastfeeding for six months, timely energy-dense complementary feeding (mashed pulses, khichdi with ghee and vegetables), vaccination, prophylactic penicillin, and vigilant management of dehydration and temperature stress.</w:t>
      </w:r>
      <w:r>
        <w:rPr>
          <w:color w:val="555555"/>
          <w:sz w:val="16"/>
          <w:szCs w:val="16"/>
          <w:vertAlign w:val="superscript"/>
        </w:rPr>
        <w:t xml:space="preserve"> [3,38]</w:t>
      </w:r>
    </w:p>
    <w:p w14:paraId="7AF677D7" w14:textId="77777777" w:rsidR="00B77C85" w:rsidRDefault="00781A4D">
      <w:pPr>
        <w:spacing w:before="120" w:after="160" w:line="340" w:lineRule="auto"/>
      </w:pPr>
      <w:r>
        <w:t>β-thalassemia: Early diagnosis through newborn or childhood screening, initiation of transfusion and chelation protocols, growth monitoring, and early nutritional support to prevent stunting — a complication that is largely preventable if nutritional deficits are addressed proactively.</w:t>
      </w:r>
      <w:r>
        <w:rPr>
          <w:color w:val="555555"/>
          <w:sz w:val="16"/>
          <w:szCs w:val="16"/>
          <w:vertAlign w:val="superscript"/>
        </w:rPr>
        <w:t xml:space="preserve"> [3,50]</w:t>
      </w:r>
    </w:p>
    <w:p w14:paraId="7AF677D8" w14:textId="77777777" w:rsidR="00B77C85" w:rsidRDefault="00781A4D">
      <w:pPr>
        <w:spacing w:before="280" w:after="80"/>
      </w:pPr>
      <w:r>
        <w:rPr>
          <w:b/>
          <w:bCs/>
          <w:i/>
          <w:iCs/>
          <w:color w:val="555555"/>
          <w:sz w:val="24"/>
          <w:szCs w:val="24"/>
        </w:rPr>
        <w:t>School Age</w:t>
      </w:r>
    </w:p>
    <w:p w14:paraId="7AF677D9" w14:textId="39670C5B" w:rsidR="00B77C85" w:rsidRDefault="00781A4D">
      <w:pPr>
        <w:spacing w:before="120" w:after="160" w:line="340" w:lineRule="auto"/>
      </w:pPr>
      <w:r>
        <w:t xml:space="preserve">Integrate school meal programs with </w:t>
      </w:r>
      <w:proofErr w:type="spellStart"/>
      <w:r w:rsidR="00BC5036">
        <w:t>heamoglobin</w:t>
      </w:r>
      <w:proofErr w:type="spellEnd"/>
      <w:r w:rsidR="00BC5036">
        <w:t xml:space="preserve"> </w:t>
      </w:r>
      <w:proofErr w:type="spellStart"/>
      <w:r>
        <w:t>opathy</w:t>
      </w:r>
      <w:proofErr w:type="spellEnd"/>
      <w:r>
        <w:t>-sensitive nutrition — pulses, millets, greens, and eggs in high-prevalence districts. Train teachers to recognize fatigue and allow rest without stigma. Age-appropriate physical activity emphasizing inclusion over performance.</w:t>
      </w:r>
      <w:r>
        <w:rPr>
          <w:color w:val="555555"/>
          <w:sz w:val="16"/>
          <w:szCs w:val="16"/>
          <w:vertAlign w:val="superscript"/>
        </w:rPr>
        <w:t xml:space="preserve"> [3,38]</w:t>
      </w:r>
    </w:p>
    <w:p w14:paraId="7AF677DA" w14:textId="77777777" w:rsidR="00B77C85" w:rsidRDefault="00781A4D">
      <w:pPr>
        <w:spacing w:before="280" w:after="80"/>
      </w:pPr>
      <w:r>
        <w:rPr>
          <w:b/>
          <w:bCs/>
          <w:i/>
          <w:iCs/>
          <w:color w:val="555555"/>
          <w:sz w:val="24"/>
          <w:szCs w:val="24"/>
        </w:rPr>
        <w:t>Adolescence</w:t>
      </w:r>
    </w:p>
    <w:p w14:paraId="7AF677DB" w14:textId="77777777" w:rsidR="00B77C85" w:rsidRDefault="00781A4D">
      <w:pPr>
        <w:spacing w:before="120" w:after="160" w:line="340" w:lineRule="auto"/>
      </w:pPr>
      <w:r>
        <w:lastRenderedPageBreak/>
        <w:t xml:space="preserve">Body image, sexuality, and fertility concerns require explicit, non-stigmatizing </w:t>
      </w:r>
      <w:proofErr w:type="spellStart"/>
      <w:r>
        <w:t>counseling</w:t>
      </w:r>
      <w:proofErr w:type="spellEnd"/>
      <w:r>
        <w:t>. Exercise protocols calibrated to preserve bone and muscle during a critical growth window. Micronutrient support — zinc, vitamin D, calcium — where deficiencies are prevalent. Direct psychological support for the identity pressures of managing a visible, stigmatized condition through the Indian educational and social system.</w:t>
      </w:r>
      <w:r>
        <w:rPr>
          <w:color w:val="555555"/>
          <w:sz w:val="16"/>
          <w:szCs w:val="16"/>
          <w:vertAlign w:val="superscript"/>
        </w:rPr>
        <w:t xml:space="preserve"> [56,57,13,14]</w:t>
      </w:r>
    </w:p>
    <w:p w14:paraId="7AF677DC" w14:textId="77777777" w:rsidR="00B77C85" w:rsidRDefault="00781A4D">
      <w:pPr>
        <w:spacing w:before="280" w:after="80"/>
      </w:pPr>
      <w:r>
        <w:rPr>
          <w:b/>
          <w:bCs/>
          <w:i/>
          <w:iCs/>
          <w:color w:val="555555"/>
          <w:sz w:val="24"/>
          <w:szCs w:val="24"/>
        </w:rPr>
        <w:t>Adulthood and Pregnancy</w:t>
      </w:r>
    </w:p>
    <w:p w14:paraId="7AF677DD" w14:textId="7C84BB04" w:rsidR="00B77C85" w:rsidRDefault="00781A4D">
      <w:pPr>
        <w:spacing w:before="120" w:after="160" w:line="340" w:lineRule="auto"/>
      </w:pPr>
      <w:r>
        <w:t xml:space="preserve">Preconception optimization — </w:t>
      </w:r>
      <w:proofErr w:type="spellStart"/>
      <w:proofErr w:type="gramStart"/>
      <w:r w:rsidR="00BC5036">
        <w:t>heamoglobin</w:t>
      </w:r>
      <w:proofErr w:type="spellEnd"/>
      <w:r w:rsidR="00BC5036">
        <w:t xml:space="preserve"> </w:t>
      </w:r>
      <w:r>
        <w:t>,</w:t>
      </w:r>
      <w:proofErr w:type="gramEnd"/>
      <w:r>
        <w:t xml:space="preserve"> iron overload, endocrine function, and nutrition — should precede pregnancy, not begin during it. Occupational </w:t>
      </w:r>
      <w:proofErr w:type="spellStart"/>
      <w:r>
        <w:t>counseling</w:t>
      </w:r>
      <w:proofErr w:type="spellEnd"/>
      <w:r>
        <w:t xml:space="preserve"> to modify heat exposure and heavy </w:t>
      </w:r>
      <w:proofErr w:type="spellStart"/>
      <w:r>
        <w:t>labor</w:t>
      </w:r>
      <w:proofErr w:type="spellEnd"/>
      <w:r>
        <w:t xml:space="preserve"> where feasible. Social protection provisions in the National SCD Mission can help maintain income during periods of reduced capacity.</w:t>
      </w:r>
      <w:r>
        <w:rPr>
          <w:color w:val="555555"/>
          <w:sz w:val="16"/>
          <w:szCs w:val="16"/>
          <w:vertAlign w:val="superscript"/>
        </w:rPr>
        <w:t xml:space="preserve"> [3,50,42]</w:t>
      </w:r>
    </w:p>
    <w:p w14:paraId="7AF677DE" w14:textId="77777777" w:rsidR="00B77C85" w:rsidRDefault="00781A4D">
      <w:pPr>
        <w:spacing w:before="280" w:after="80"/>
      </w:pPr>
      <w:r>
        <w:rPr>
          <w:b/>
          <w:bCs/>
          <w:i/>
          <w:iCs/>
          <w:color w:val="555555"/>
          <w:sz w:val="24"/>
          <w:szCs w:val="24"/>
        </w:rPr>
        <w:t>Older Adults</w:t>
      </w:r>
    </w:p>
    <w:p w14:paraId="7AF677DF" w14:textId="77777777" w:rsidR="00B77C85" w:rsidRDefault="00781A4D">
      <w:pPr>
        <w:spacing w:before="120" w:after="160" w:line="340" w:lineRule="auto"/>
      </w:pPr>
      <w:r>
        <w:t>Focus shifts to managing accumulated organ damage — cardiomyopathy, renal disease, cerebrovascular events, osteoporosis, and fall risk — while preserving functional independence and social connection. Isolation and loss of agency in old age compound biological suffering in ways that are preventable with family education and community support.</w:t>
      </w:r>
      <w:r>
        <w:rPr>
          <w:color w:val="555555"/>
          <w:sz w:val="16"/>
          <w:szCs w:val="16"/>
          <w:vertAlign w:val="superscript"/>
        </w:rPr>
        <w:t xml:space="preserve"> [13,14,50]</w:t>
      </w:r>
    </w:p>
    <w:p w14:paraId="7AF677E0" w14:textId="77777777" w:rsidR="00B77C85" w:rsidRDefault="00B77C85">
      <w:pPr>
        <w:spacing w:before="80" w:after="80"/>
      </w:pPr>
    </w:p>
    <w:p w14:paraId="7AF677E1" w14:textId="77777777" w:rsidR="00B77C85" w:rsidRDefault="00781A4D">
      <w:pPr>
        <w:pBdr>
          <w:bottom w:val="single" w:sz="8" w:space="4" w:color="9A7B2F"/>
        </w:pBdr>
        <w:spacing w:before="560" w:after="120"/>
      </w:pPr>
      <w:r>
        <w:rPr>
          <w:b/>
          <w:bCs/>
          <w:sz w:val="36"/>
          <w:szCs w:val="36"/>
        </w:rPr>
        <w:t>11. The Minimum Viable Protocol</w:t>
      </w:r>
    </w:p>
    <w:p w14:paraId="7AF677E2" w14:textId="77777777" w:rsidR="00B77C85" w:rsidRDefault="00781A4D">
      <w:pPr>
        <w:spacing w:before="120" w:after="160" w:line="340" w:lineRule="auto"/>
      </w:pPr>
      <w:r>
        <w:t>Everything in the preceding sections has purpose and evidence. But some people need the essence first. The following represents the smallest set of daily practices that captures the highest fraction of available benefit.</w:t>
      </w:r>
    </w:p>
    <w:p w14:paraId="7AF677E3" w14:textId="77777777" w:rsidR="00B77C85" w:rsidRDefault="00781A4D">
      <w:pPr>
        <w:spacing w:before="400" w:after="100"/>
      </w:pPr>
      <w:r>
        <w:rPr>
          <w:b/>
          <w:bCs/>
          <w:sz w:val="28"/>
          <w:szCs w:val="28"/>
        </w:rPr>
        <w:t>For Sickle Cell Disease</w:t>
      </w:r>
    </w:p>
    <w:p w14:paraId="7AF677E4" w14:textId="77777777" w:rsidR="00B77C85" w:rsidRDefault="00781A4D">
      <w:pPr>
        <w:pStyle w:val="ListParagraph"/>
        <w:numPr>
          <w:ilvl w:val="0"/>
          <w:numId w:val="2"/>
        </w:numPr>
        <w:spacing w:before="100" w:after="80"/>
      </w:pPr>
      <w:r>
        <w:rPr>
          <w:b/>
          <w:bCs/>
        </w:rPr>
        <w:t xml:space="preserve">Hydration: </w:t>
      </w:r>
      <w:r>
        <w:t xml:space="preserve">One glass of safe water at waking, with each meal, and before bed. More in heat or </w:t>
      </w:r>
      <w:proofErr w:type="spellStart"/>
      <w:r>
        <w:t>labor</w:t>
      </w:r>
      <w:proofErr w:type="spellEnd"/>
      <w:r>
        <w:t>.</w:t>
      </w:r>
    </w:p>
    <w:p w14:paraId="7AF677E5" w14:textId="77777777" w:rsidR="00B77C85" w:rsidRDefault="00781A4D">
      <w:pPr>
        <w:pStyle w:val="ListParagraph"/>
        <w:numPr>
          <w:ilvl w:val="0"/>
          <w:numId w:val="2"/>
        </w:numPr>
        <w:spacing w:before="80" w:after="80"/>
      </w:pPr>
      <w:r>
        <w:rPr>
          <w:b/>
          <w:bCs/>
        </w:rPr>
        <w:t xml:space="preserve">Protein: </w:t>
      </w:r>
      <w:r>
        <w:t>One pulse or animal protein at minimum two main meals daily.</w:t>
      </w:r>
    </w:p>
    <w:p w14:paraId="7AF677E6" w14:textId="77777777" w:rsidR="00B77C85" w:rsidRDefault="00781A4D">
      <w:pPr>
        <w:pStyle w:val="ListParagraph"/>
        <w:numPr>
          <w:ilvl w:val="0"/>
          <w:numId w:val="2"/>
        </w:numPr>
        <w:spacing w:before="80" w:after="80"/>
      </w:pPr>
      <w:proofErr w:type="spellStart"/>
      <w:r>
        <w:rPr>
          <w:b/>
          <w:bCs/>
        </w:rPr>
        <w:t>Color</w:t>
      </w:r>
      <w:proofErr w:type="spellEnd"/>
      <w:r>
        <w:rPr>
          <w:b/>
          <w:bCs/>
        </w:rPr>
        <w:t xml:space="preserve">: </w:t>
      </w:r>
      <w:r>
        <w:t xml:space="preserve">One green leafy vegetable and one other </w:t>
      </w:r>
      <w:proofErr w:type="spellStart"/>
      <w:r>
        <w:t>colored</w:t>
      </w:r>
      <w:proofErr w:type="spellEnd"/>
      <w:r>
        <w:t xml:space="preserve"> vegetable or fruit most days.</w:t>
      </w:r>
    </w:p>
    <w:p w14:paraId="7AF677E7" w14:textId="77777777" w:rsidR="00B77C85" w:rsidRDefault="00781A4D">
      <w:pPr>
        <w:pStyle w:val="ListParagraph"/>
        <w:numPr>
          <w:ilvl w:val="0"/>
          <w:numId w:val="2"/>
        </w:numPr>
        <w:spacing w:before="80" w:after="80"/>
      </w:pPr>
      <w:r>
        <w:rPr>
          <w:b/>
          <w:bCs/>
        </w:rPr>
        <w:t xml:space="preserve">Movement: </w:t>
      </w:r>
      <w:r>
        <w:t>Green days: 20 minutes of gentle movement. Amber days: stretching and breathing. Red days: rest and breathing only.</w:t>
      </w:r>
    </w:p>
    <w:p w14:paraId="7AF677E8" w14:textId="77777777" w:rsidR="00B77C85" w:rsidRDefault="00781A4D">
      <w:pPr>
        <w:pStyle w:val="ListParagraph"/>
        <w:numPr>
          <w:ilvl w:val="0"/>
          <w:numId w:val="2"/>
        </w:numPr>
        <w:spacing w:before="80" w:after="80"/>
      </w:pPr>
      <w:r>
        <w:rPr>
          <w:b/>
          <w:bCs/>
        </w:rPr>
        <w:t xml:space="preserve">Sleep: </w:t>
      </w:r>
      <w:r>
        <w:t>7–9 hours at consistent times. 5–10 minutes of slow nasal breathing before bed.</w:t>
      </w:r>
    </w:p>
    <w:p w14:paraId="7AF677E9" w14:textId="77777777" w:rsidR="00B77C85" w:rsidRDefault="00781A4D">
      <w:pPr>
        <w:pStyle w:val="ListParagraph"/>
        <w:numPr>
          <w:ilvl w:val="0"/>
          <w:numId w:val="2"/>
        </w:numPr>
        <w:spacing w:before="80" w:after="120"/>
      </w:pPr>
      <w:r>
        <w:rPr>
          <w:b/>
          <w:bCs/>
        </w:rPr>
        <w:t xml:space="preserve">Avoid: </w:t>
      </w:r>
      <w:r>
        <w:t>Strenuous bursts, mid-day heat, dehydration, indoor smoke. Rest when pain or fatigue rises.</w:t>
      </w:r>
    </w:p>
    <w:p w14:paraId="7AF677EA" w14:textId="77777777" w:rsidR="00B77C85" w:rsidRDefault="00781A4D">
      <w:pPr>
        <w:spacing w:before="400" w:after="100"/>
      </w:pPr>
      <w:r>
        <w:rPr>
          <w:b/>
          <w:bCs/>
          <w:sz w:val="28"/>
          <w:szCs w:val="28"/>
        </w:rPr>
        <w:t>Additional Layer for β-Thalassemia</w:t>
      </w:r>
    </w:p>
    <w:p w14:paraId="7AF677EB" w14:textId="77777777" w:rsidR="00B77C85" w:rsidRDefault="00781A4D">
      <w:pPr>
        <w:pStyle w:val="ListParagraph"/>
        <w:numPr>
          <w:ilvl w:val="0"/>
          <w:numId w:val="2"/>
        </w:numPr>
        <w:spacing w:before="100" w:after="80"/>
      </w:pPr>
      <w:r>
        <w:rPr>
          <w:b/>
          <w:bCs/>
        </w:rPr>
        <w:lastRenderedPageBreak/>
        <w:t xml:space="preserve">Iron discipline: </w:t>
      </w:r>
      <w:r>
        <w:t>No iron supplements or iron-fortified foods without medical direction. Black tea with meals in NTDT.</w:t>
      </w:r>
    </w:p>
    <w:p w14:paraId="7AF677EC" w14:textId="77777777" w:rsidR="00B77C85" w:rsidRDefault="00781A4D">
      <w:pPr>
        <w:pStyle w:val="ListParagraph"/>
        <w:numPr>
          <w:ilvl w:val="0"/>
          <w:numId w:val="2"/>
        </w:numPr>
        <w:spacing w:before="80" w:after="80"/>
      </w:pPr>
      <w:r>
        <w:rPr>
          <w:b/>
          <w:bCs/>
        </w:rPr>
        <w:t xml:space="preserve">Bone support: </w:t>
      </w:r>
      <w:r>
        <w:t>Calcium-rich foods 2–3 times daily. Safe sun exposure. Weight-bearing activity as tolerated.</w:t>
      </w:r>
    </w:p>
    <w:p w14:paraId="7AF677ED" w14:textId="77777777" w:rsidR="00B77C85" w:rsidRDefault="00781A4D">
      <w:pPr>
        <w:pStyle w:val="ListParagraph"/>
        <w:numPr>
          <w:ilvl w:val="0"/>
          <w:numId w:val="2"/>
        </w:numPr>
        <w:spacing w:before="80" w:after="120"/>
      </w:pPr>
      <w:r>
        <w:rPr>
          <w:b/>
          <w:bCs/>
        </w:rPr>
        <w:t xml:space="preserve">Chelation adherence: </w:t>
      </w:r>
      <w:r>
        <w:t>Strict adherence to transfusion and chelation schedules. Meals planned around dosing.</w:t>
      </w:r>
    </w:p>
    <w:p w14:paraId="7AF677EE" w14:textId="77777777" w:rsidR="00B77C85" w:rsidRDefault="00781A4D">
      <w:pPr>
        <w:pBdr>
          <w:left w:val="thick" w:sz="16" w:space="14" w:color="9A7B2F"/>
        </w:pBdr>
        <w:spacing w:before="280" w:after="280" w:line="360" w:lineRule="auto"/>
        <w:ind w:left="720" w:right="480"/>
      </w:pPr>
      <w:r>
        <w:rPr>
          <w:i/>
          <w:iCs/>
          <w:color w:val="9A7B2F"/>
        </w:rPr>
        <w:t>The protocol doesn't need to be perfect to be powerful. It needs to be consistent. Consistency over years changes disease trajectory.</w:t>
      </w:r>
    </w:p>
    <w:p w14:paraId="7AF677EF" w14:textId="77777777" w:rsidR="00B77C85" w:rsidRDefault="00B77C85">
      <w:pPr>
        <w:spacing w:before="80" w:after="80"/>
      </w:pPr>
    </w:p>
    <w:p w14:paraId="7AF677F0" w14:textId="77777777" w:rsidR="00B77C85" w:rsidRDefault="00781A4D">
      <w:pPr>
        <w:pBdr>
          <w:bottom w:val="single" w:sz="8" w:space="4" w:color="9A7B2F"/>
        </w:pBdr>
        <w:spacing w:before="560" w:after="120"/>
      </w:pPr>
      <w:r>
        <w:rPr>
          <w:b/>
          <w:bCs/>
          <w:sz w:val="36"/>
          <w:szCs w:val="36"/>
        </w:rPr>
        <w:t>12. Conclusions</w:t>
      </w:r>
    </w:p>
    <w:p w14:paraId="7AF677F1" w14:textId="77777777" w:rsidR="00B77C85" w:rsidRDefault="00781A4D">
      <w:pPr>
        <w:spacing w:before="120" w:after="160" w:line="340" w:lineRule="auto"/>
      </w:pPr>
      <w:r>
        <w:t>The mutation is fixed. The outcome is not.</w:t>
      </w:r>
    </w:p>
    <w:p w14:paraId="7AF677F2" w14:textId="77777777" w:rsidR="00B77C85" w:rsidRDefault="00781A4D">
      <w:pPr>
        <w:spacing w:before="120" w:after="160" w:line="340" w:lineRule="auto"/>
      </w:pPr>
      <w:r>
        <w:t xml:space="preserve">Between the genetic constraint and the lived experience lies an enormous, modifiable space — of biology, nutrition, movement, sleep, stress, environment, and </w:t>
      </w:r>
      <w:proofErr w:type="spellStart"/>
      <w:r>
        <w:t>behavior</w:t>
      </w:r>
      <w:proofErr w:type="spellEnd"/>
      <w:r>
        <w:t>. The evidence reviewed here establishes that systematic, India-grounded intervention in this space can meaningfully reduce disease burden: fewer crises, better growth, improved bone health, greater functional capacity, and sustained quality of life.</w:t>
      </w:r>
    </w:p>
    <w:p w14:paraId="7AF677F3" w14:textId="77777777" w:rsidR="00B77C85" w:rsidRDefault="00781A4D">
      <w:pPr>
        <w:spacing w:before="120" w:after="160" w:line="340" w:lineRule="auto"/>
      </w:pPr>
      <w:r>
        <w:t xml:space="preserve">The gap between what the evidence now supports and what most affected individuals in India actually receive is large, preventable, and costly in suffering. It is not primarily a research gap — the existing evidence is sufficient to act. It is an implementation gap: the translation of current knowledge into accessible, culturally grounded, </w:t>
      </w:r>
      <w:proofErr w:type="spellStart"/>
      <w:r>
        <w:t>behaviorally</w:t>
      </w:r>
      <w:proofErr w:type="spellEnd"/>
      <w:r>
        <w:t xml:space="preserve"> realistic protocols delivered through the infrastructure that already reaches these communities.</w:t>
      </w:r>
    </w:p>
    <w:p w14:paraId="7AF677F4" w14:textId="77777777" w:rsidR="00B77C85" w:rsidRDefault="00781A4D">
      <w:pPr>
        <w:spacing w:before="120" w:after="160" w:line="340" w:lineRule="auto"/>
      </w:pPr>
      <w:r>
        <w:t>The people these conditions affect did not choose them. What they can choose — with the right knowledge and the right support — is how intelligently they live within the constraints those conditions impose. Giving them that intelligence, translated into the reality of their lives, is the obligation this evidence carries.</w:t>
      </w:r>
    </w:p>
    <w:p w14:paraId="7AF677F5" w14:textId="77777777" w:rsidR="00B77C85" w:rsidRDefault="00781A4D">
      <w:pPr>
        <w:pBdr>
          <w:left w:val="thick" w:sz="16" w:space="14" w:color="9A7B2F"/>
        </w:pBdr>
        <w:spacing w:before="280" w:after="280" w:line="360" w:lineRule="auto"/>
        <w:ind w:left="720" w:right="480"/>
      </w:pPr>
      <w:r>
        <w:rPr>
          <w:i/>
          <w:iCs/>
          <w:color w:val="9A7B2F"/>
        </w:rPr>
        <w:t>The highest form of medicine is not treating disease. It is building the conditions in which the body can express its best possible version of itself — even within the constraints it cannot escape.</w:t>
      </w:r>
    </w:p>
    <w:p w14:paraId="7AF677F6" w14:textId="77777777" w:rsidR="00B77C85" w:rsidRDefault="00B77C85">
      <w:pPr>
        <w:pBdr>
          <w:bottom w:val="single" w:sz="4" w:space="1" w:color="CCCCCC"/>
        </w:pBdr>
        <w:spacing w:before="240" w:after="240"/>
      </w:pPr>
    </w:p>
    <w:p w14:paraId="7AF677F7" w14:textId="77777777" w:rsidR="00B77C85" w:rsidRDefault="00B77C85">
      <w:pPr>
        <w:spacing w:before="80" w:after="80"/>
      </w:pPr>
    </w:p>
    <w:p w14:paraId="7AF677F8" w14:textId="77777777" w:rsidR="00B77C85" w:rsidRDefault="00781A4D">
      <w:pPr>
        <w:pBdr>
          <w:bottom w:val="single" w:sz="8" w:space="4" w:color="9A7B2F"/>
        </w:pBdr>
        <w:spacing w:before="560" w:after="120"/>
      </w:pPr>
      <w:r>
        <w:rPr>
          <w:b/>
          <w:bCs/>
          <w:sz w:val="36"/>
          <w:szCs w:val="36"/>
        </w:rPr>
        <w:lastRenderedPageBreak/>
        <w:t>References</w:t>
      </w:r>
    </w:p>
    <w:p w14:paraId="7AF677F9" w14:textId="77777777" w:rsidR="00B77C85" w:rsidRDefault="00781A4D">
      <w:pPr>
        <w:spacing w:before="120" w:after="160" w:line="340" w:lineRule="auto"/>
      </w:pPr>
      <w:r>
        <w:t>All sources are cited in-text by number. Direct links are provided for online access.</w:t>
      </w:r>
    </w:p>
    <w:p w14:paraId="7AF677FA" w14:textId="77777777" w:rsidR="00B77C85" w:rsidRDefault="00B77C85">
      <w:pPr>
        <w:spacing w:before="80" w:after="80"/>
      </w:pPr>
    </w:p>
    <w:p w14:paraId="7AF677FB"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  </w:t>
      </w:r>
      <w:r>
        <w:rPr>
          <w:sz w:val="18"/>
          <w:szCs w:val="18"/>
        </w:rPr>
        <w:t xml:space="preserve">Sickle cell disease in tribal populations in India. Indian J Med Res; PMC.  </w:t>
      </w:r>
      <w:hyperlink r:id="rId5" w:history="1">
        <w:r>
          <w:rPr>
            <w:color w:val="1A56A0"/>
            <w:sz w:val="18"/>
            <w:szCs w:val="18"/>
            <w:u w:val="single"/>
          </w:rPr>
          <w:t>↗</w:t>
        </w:r>
      </w:hyperlink>
    </w:p>
    <w:p w14:paraId="7AF677FC"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  </w:t>
      </w:r>
      <w:r>
        <w:rPr>
          <w:sz w:val="18"/>
          <w:szCs w:val="18"/>
        </w:rPr>
        <w:t xml:space="preserve">New Insights </w:t>
      </w:r>
      <w:proofErr w:type="gramStart"/>
      <w:r>
        <w:rPr>
          <w:sz w:val="18"/>
          <w:szCs w:val="18"/>
        </w:rPr>
        <w:t>Into</w:t>
      </w:r>
      <w:proofErr w:type="gramEnd"/>
      <w:r>
        <w:rPr>
          <w:sz w:val="18"/>
          <w:szCs w:val="18"/>
        </w:rPr>
        <w:t xml:space="preserve"> Pathophysiology of β-Thalassemia. Front Med. 2022.  </w:t>
      </w:r>
      <w:hyperlink r:id="rId6" w:history="1">
        <w:r>
          <w:rPr>
            <w:color w:val="1A56A0"/>
            <w:sz w:val="18"/>
            <w:szCs w:val="18"/>
            <w:u w:val="single"/>
          </w:rPr>
          <w:t>↗</w:t>
        </w:r>
      </w:hyperlink>
    </w:p>
    <w:p w14:paraId="7AF677FD" w14:textId="3A1B31E7" w:rsidR="00B77C85" w:rsidRDefault="00781A4D">
      <w:pPr>
        <w:spacing w:before="80" w:after="80"/>
        <w:ind w:left="400" w:hanging="400"/>
      </w:pPr>
      <w:r>
        <w:rPr>
          <w:rFonts w:ascii="Courier New" w:eastAsia="Courier New" w:hAnsi="Courier New" w:cs="Courier New"/>
          <w:b/>
          <w:bCs/>
          <w:color w:val="9A7B2F"/>
          <w:sz w:val="18"/>
          <w:szCs w:val="18"/>
        </w:rPr>
        <w:t xml:space="preserve">3.  </w:t>
      </w:r>
      <w:r>
        <w:rPr>
          <w:sz w:val="18"/>
          <w:szCs w:val="18"/>
        </w:rPr>
        <w:t xml:space="preserve">NHM Guidelines on </w:t>
      </w:r>
      <w:proofErr w:type="spellStart"/>
      <w:r w:rsidR="00BC5036">
        <w:rPr>
          <w:sz w:val="18"/>
          <w:szCs w:val="18"/>
        </w:rPr>
        <w:t>Heamoglobin</w:t>
      </w:r>
      <w:proofErr w:type="spellEnd"/>
      <w:r w:rsidR="00BC5036">
        <w:rPr>
          <w:sz w:val="18"/>
          <w:szCs w:val="18"/>
        </w:rPr>
        <w:t xml:space="preserve"> </w:t>
      </w:r>
      <w:proofErr w:type="spellStart"/>
      <w:r>
        <w:rPr>
          <w:sz w:val="18"/>
          <w:szCs w:val="18"/>
        </w:rPr>
        <w:t>opathies</w:t>
      </w:r>
      <w:proofErr w:type="spellEnd"/>
      <w:r>
        <w:rPr>
          <w:sz w:val="18"/>
          <w:szCs w:val="18"/>
        </w:rPr>
        <w:t xml:space="preserve"> in India. National Health Mission (PDF).  </w:t>
      </w:r>
      <w:hyperlink r:id="rId7" w:history="1">
        <w:r>
          <w:rPr>
            <w:color w:val="1A56A0"/>
            <w:sz w:val="18"/>
            <w:szCs w:val="18"/>
            <w:u w:val="single"/>
          </w:rPr>
          <w:t>↗</w:t>
        </w:r>
      </w:hyperlink>
    </w:p>
    <w:p w14:paraId="7AF677FE"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  </w:t>
      </w:r>
      <w:r>
        <w:rPr>
          <w:sz w:val="18"/>
          <w:szCs w:val="18"/>
        </w:rPr>
        <w:t xml:space="preserve">Sickle Cell Disease Pathophysiology. Rare Disease Advisor.  </w:t>
      </w:r>
      <w:hyperlink r:id="rId8" w:history="1">
        <w:r>
          <w:rPr>
            <w:color w:val="1A56A0"/>
            <w:sz w:val="18"/>
            <w:szCs w:val="18"/>
            <w:u w:val="single"/>
          </w:rPr>
          <w:t>↗</w:t>
        </w:r>
      </w:hyperlink>
    </w:p>
    <w:p w14:paraId="7AF677FF"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  </w:t>
      </w:r>
      <w:r>
        <w:rPr>
          <w:sz w:val="18"/>
          <w:szCs w:val="18"/>
        </w:rPr>
        <w:t xml:space="preserve">Pathophysiology of Sickle Cell Disease. Digital Avicenna (PDF).  </w:t>
      </w:r>
      <w:hyperlink r:id="rId9" w:history="1">
        <w:r>
          <w:rPr>
            <w:color w:val="1A56A0"/>
            <w:sz w:val="18"/>
            <w:szCs w:val="18"/>
            <w:u w:val="single"/>
          </w:rPr>
          <w:t>↗</w:t>
        </w:r>
      </w:hyperlink>
    </w:p>
    <w:p w14:paraId="7AF67800"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6.  </w:t>
      </w:r>
      <w:r>
        <w:rPr>
          <w:sz w:val="18"/>
          <w:szCs w:val="18"/>
        </w:rPr>
        <w:t xml:space="preserve">Sickle cell </w:t>
      </w:r>
      <w:proofErr w:type="spellStart"/>
      <w:r>
        <w:rPr>
          <w:sz w:val="18"/>
          <w:szCs w:val="18"/>
        </w:rPr>
        <w:t>vaso</w:t>
      </w:r>
      <w:proofErr w:type="spellEnd"/>
      <w:r>
        <w:rPr>
          <w:sz w:val="18"/>
          <w:szCs w:val="18"/>
        </w:rPr>
        <w:t xml:space="preserve">-occlusion: the dialectic between red and white cells. PMC.  </w:t>
      </w:r>
      <w:hyperlink r:id="rId10" w:history="1">
        <w:r>
          <w:rPr>
            <w:color w:val="1A56A0"/>
            <w:sz w:val="18"/>
            <w:szCs w:val="18"/>
            <w:u w:val="single"/>
          </w:rPr>
          <w:t>↗</w:t>
        </w:r>
      </w:hyperlink>
    </w:p>
    <w:p w14:paraId="7AF67801"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7.  </w:t>
      </w:r>
      <w:r>
        <w:rPr>
          <w:sz w:val="18"/>
          <w:szCs w:val="18"/>
        </w:rPr>
        <w:t xml:space="preserve">Vaso-occlusion in sickle cell disease: pathophysiology and novel interventions. PMC.  </w:t>
      </w:r>
      <w:hyperlink r:id="rId11" w:history="1">
        <w:r>
          <w:rPr>
            <w:color w:val="1A56A0"/>
            <w:sz w:val="18"/>
            <w:szCs w:val="18"/>
            <w:u w:val="single"/>
          </w:rPr>
          <w:t>↗</w:t>
        </w:r>
      </w:hyperlink>
    </w:p>
    <w:p w14:paraId="7AF67802"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8.  </w:t>
      </w:r>
      <w:r>
        <w:rPr>
          <w:sz w:val="18"/>
          <w:szCs w:val="18"/>
        </w:rPr>
        <w:t xml:space="preserve">Nutrition in sickle cell disease: recent insights. Dove Medical Press.  </w:t>
      </w:r>
      <w:hyperlink r:id="rId12" w:history="1">
        <w:r>
          <w:rPr>
            <w:color w:val="1A56A0"/>
            <w:sz w:val="18"/>
            <w:szCs w:val="18"/>
            <w:u w:val="single"/>
          </w:rPr>
          <w:t>↗</w:t>
        </w:r>
      </w:hyperlink>
    </w:p>
    <w:p w14:paraId="7AF67803"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9.  </w:t>
      </w:r>
      <w:r>
        <w:rPr>
          <w:sz w:val="18"/>
          <w:szCs w:val="18"/>
        </w:rPr>
        <w:t xml:space="preserve">The Role of Nutrition in Sickle Cell Disease. PMC / NIH.  </w:t>
      </w:r>
      <w:hyperlink r:id="rId13" w:history="1">
        <w:r>
          <w:rPr>
            <w:color w:val="1A56A0"/>
            <w:sz w:val="18"/>
            <w:szCs w:val="18"/>
            <w:u w:val="single"/>
          </w:rPr>
          <w:t>↗</w:t>
        </w:r>
      </w:hyperlink>
    </w:p>
    <w:p w14:paraId="7AF67804"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10.  </w:t>
      </w:r>
      <w:r>
        <w:rPr>
          <w:sz w:val="18"/>
          <w:szCs w:val="18"/>
        </w:rPr>
        <w:t xml:space="preserve">Ineffective Erythropoiesis in β-Thalassaemia: Key Steps and Therapeutic Targets. PMC.  </w:t>
      </w:r>
      <w:hyperlink r:id="rId14" w:history="1">
        <w:r>
          <w:rPr>
            <w:color w:val="1A56A0"/>
            <w:sz w:val="18"/>
            <w:szCs w:val="18"/>
            <w:u w:val="single"/>
          </w:rPr>
          <w:t>↗</w:t>
        </w:r>
      </w:hyperlink>
    </w:p>
    <w:p w14:paraId="7AF67805"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11.  </w:t>
      </w:r>
      <w:r>
        <w:rPr>
          <w:sz w:val="18"/>
          <w:szCs w:val="18"/>
        </w:rPr>
        <w:t xml:space="preserve">A Review of Iron Overload in Beta-Thalassemia Major. SAGE Journals.  </w:t>
      </w:r>
      <w:hyperlink r:id="rId15" w:history="1">
        <w:r>
          <w:rPr>
            <w:color w:val="1A56A0"/>
            <w:sz w:val="18"/>
            <w:szCs w:val="18"/>
            <w:u w:val="single"/>
          </w:rPr>
          <w:t>↗</w:t>
        </w:r>
      </w:hyperlink>
    </w:p>
    <w:p w14:paraId="7AF67806"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12.  </w:t>
      </w:r>
      <w:r>
        <w:rPr>
          <w:sz w:val="18"/>
          <w:szCs w:val="18"/>
        </w:rPr>
        <w:t xml:space="preserve">Ineffective Erythropoiesis Markers in β-Thalassemia. PMC.  </w:t>
      </w:r>
      <w:hyperlink r:id="rId16" w:history="1">
        <w:r>
          <w:rPr>
            <w:color w:val="1A56A0"/>
            <w:sz w:val="18"/>
            <w:szCs w:val="18"/>
            <w:u w:val="single"/>
          </w:rPr>
          <w:t>↗</w:t>
        </w:r>
      </w:hyperlink>
    </w:p>
    <w:p w14:paraId="7AF67807"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13.  </w:t>
      </w:r>
      <w:r>
        <w:rPr>
          <w:sz w:val="18"/>
          <w:szCs w:val="18"/>
        </w:rPr>
        <w:t xml:space="preserve">Nutrition in Thalassemia: Systematic Review of Deficiency Prevalence. PMC.  </w:t>
      </w:r>
      <w:hyperlink r:id="rId17" w:history="1">
        <w:r>
          <w:rPr>
            <w:color w:val="1A56A0"/>
            <w:sz w:val="18"/>
            <w:szCs w:val="18"/>
            <w:u w:val="single"/>
          </w:rPr>
          <w:t>↗</w:t>
        </w:r>
      </w:hyperlink>
    </w:p>
    <w:p w14:paraId="7AF67808"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14.  </w:t>
      </w:r>
      <w:r>
        <w:rPr>
          <w:sz w:val="18"/>
          <w:szCs w:val="18"/>
        </w:rPr>
        <w:t xml:space="preserve">Nutrition in Thalassemia: Systematic Review (full PDF). TIF.  </w:t>
      </w:r>
      <w:hyperlink r:id="rId18" w:history="1">
        <w:r>
          <w:rPr>
            <w:color w:val="1A56A0"/>
            <w:sz w:val="18"/>
            <w:szCs w:val="18"/>
            <w:u w:val="single"/>
          </w:rPr>
          <w:t>↗</w:t>
        </w:r>
      </w:hyperlink>
    </w:p>
    <w:p w14:paraId="7AF67809"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15.  </w:t>
      </w:r>
      <w:r>
        <w:rPr>
          <w:sz w:val="18"/>
          <w:szCs w:val="18"/>
        </w:rPr>
        <w:t xml:space="preserve">Standard-of-Care Clinical Practice Guidelines 2012. UCSF Thalassemia Center.  </w:t>
      </w:r>
      <w:hyperlink r:id="rId19" w:history="1">
        <w:r>
          <w:rPr>
            <w:color w:val="1A56A0"/>
            <w:sz w:val="18"/>
            <w:szCs w:val="18"/>
            <w:u w:val="single"/>
          </w:rPr>
          <w:t>↗</w:t>
        </w:r>
      </w:hyperlink>
    </w:p>
    <w:p w14:paraId="7AF6780A"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16.  </w:t>
      </w:r>
      <w:r>
        <w:rPr>
          <w:sz w:val="18"/>
          <w:szCs w:val="18"/>
        </w:rPr>
        <w:t xml:space="preserve">Pathophysiology of vascular obstruction in sickle syndromes. Blood Rev / ScienceDirect.  </w:t>
      </w:r>
      <w:hyperlink r:id="rId20" w:history="1">
        <w:r>
          <w:rPr>
            <w:color w:val="1A56A0"/>
            <w:sz w:val="18"/>
            <w:szCs w:val="18"/>
            <w:u w:val="single"/>
          </w:rPr>
          <w:t>↗</w:t>
        </w:r>
      </w:hyperlink>
    </w:p>
    <w:p w14:paraId="7AF6780B"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17.  </w:t>
      </w:r>
      <w:r>
        <w:rPr>
          <w:sz w:val="18"/>
          <w:szCs w:val="18"/>
        </w:rPr>
        <w:t xml:space="preserve">Light-to-Moderate Exercise Benefits for Sickle Cell Disease. ASH Press Release.  </w:t>
      </w:r>
      <w:hyperlink r:id="rId21" w:history="1">
        <w:r>
          <w:rPr>
            <w:color w:val="1A56A0"/>
            <w:sz w:val="18"/>
            <w:szCs w:val="18"/>
            <w:u w:val="single"/>
          </w:rPr>
          <w:t>↗</w:t>
        </w:r>
      </w:hyperlink>
    </w:p>
    <w:p w14:paraId="7AF6780C"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18.  </w:t>
      </w:r>
      <w:r>
        <w:rPr>
          <w:sz w:val="18"/>
          <w:szCs w:val="18"/>
        </w:rPr>
        <w:t xml:space="preserve">Physical exercise in sickle cell </w:t>
      </w:r>
      <w:proofErr w:type="spellStart"/>
      <w:r>
        <w:rPr>
          <w:sz w:val="18"/>
          <w:szCs w:val="18"/>
        </w:rPr>
        <w:t>anemia</w:t>
      </w:r>
      <w:proofErr w:type="spellEnd"/>
      <w:r>
        <w:rPr>
          <w:sz w:val="18"/>
          <w:szCs w:val="18"/>
        </w:rPr>
        <w:t xml:space="preserve">: a systematic review. PMC.  </w:t>
      </w:r>
      <w:hyperlink r:id="rId22" w:history="1">
        <w:r>
          <w:rPr>
            <w:color w:val="1A56A0"/>
            <w:sz w:val="18"/>
            <w:szCs w:val="18"/>
            <w:u w:val="single"/>
          </w:rPr>
          <w:t>↗</w:t>
        </w:r>
      </w:hyperlink>
    </w:p>
    <w:p w14:paraId="7AF6780D"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19.  </w:t>
      </w:r>
      <w:r>
        <w:rPr>
          <w:sz w:val="18"/>
          <w:szCs w:val="18"/>
        </w:rPr>
        <w:t xml:space="preserve">Micronutrients and sickle cell disease — effects on growth, infection, and VOC: systematic review. Wiley.  </w:t>
      </w:r>
      <w:hyperlink r:id="rId23" w:history="1">
        <w:r>
          <w:rPr>
            <w:color w:val="1A56A0"/>
            <w:sz w:val="18"/>
            <w:szCs w:val="18"/>
            <w:u w:val="single"/>
          </w:rPr>
          <w:t>↗</w:t>
        </w:r>
      </w:hyperlink>
    </w:p>
    <w:p w14:paraId="7AF6780E"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20.  </w:t>
      </w:r>
      <w:r>
        <w:rPr>
          <w:sz w:val="18"/>
          <w:szCs w:val="18"/>
        </w:rPr>
        <w:t xml:space="preserve">Nutritional studies in patients with β-thalassemia major: short review. PMC.  </w:t>
      </w:r>
      <w:hyperlink r:id="rId24" w:history="1">
        <w:r>
          <w:rPr>
            <w:color w:val="1A56A0"/>
            <w:sz w:val="18"/>
            <w:szCs w:val="18"/>
            <w:u w:val="single"/>
          </w:rPr>
          <w:t>↗</w:t>
        </w:r>
      </w:hyperlink>
    </w:p>
    <w:p w14:paraId="7AF6780F"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21.  </w:t>
      </w:r>
      <w:r>
        <w:rPr>
          <w:sz w:val="18"/>
          <w:szCs w:val="18"/>
        </w:rPr>
        <w:t xml:space="preserve">Nutrition guidance. Northern California Comprehensive Thalassemia Center / UCSF.  </w:t>
      </w:r>
      <w:hyperlink r:id="rId25" w:history="1">
        <w:r>
          <w:rPr>
            <w:color w:val="1A56A0"/>
            <w:sz w:val="18"/>
            <w:szCs w:val="18"/>
            <w:u w:val="single"/>
          </w:rPr>
          <w:t>↗</w:t>
        </w:r>
      </w:hyperlink>
    </w:p>
    <w:p w14:paraId="7AF67810"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22.  </w:t>
      </w:r>
      <w:r>
        <w:rPr>
          <w:sz w:val="18"/>
          <w:szCs w:val="18"/>
        </w:rPr>
        <w:t xml:space="preserve">Nutritional Status of Sickle Cell Patients: Literature Review. Research Archive.  </w:t>
      </w:r>
      <w:hyperlink r:id="rId26" w:history="1">
        <w:r>
          <w:rPr>
            <w:color w:val="1A56A0"/>
            <w:sz w:val="18"/>
            <w:szCs w:val="18"/>
            <w:u w:val="single"/>
          </w:rPr>
          <w:t>↗</w:t>
        </w:r>
      </w:hyperlink>
    </w:p>
    <w:p w14:paraId="7AF67811"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23.  </w:t>
      </w:r>
      <w:r>
        <w:rPr>
          <w:sz w:val="18"/>
          <w:szCs w:val="18"/>
        </w:rPr>
        <w:t xml:space="preserve">Yoga Module Development and Validation for Sickle Cell Disease. PMC.  </w:t>
      </w:r>
      <w:hyperlink r:id="rId27" w:history="1">
        <w:r>
          <w:rPr>
            <w:color w:val="1A56A0"/>
            <w:sz w:val="18"/>
            <w:szCs w:val="18"/>
            <w:u w:val="single"/>
          </w:rPr>
          <w:t>↗</w:t>
        </w:r>
      </w:hyperlink>
    </w:p>
    <w:p w14:paraId="7AF67812"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24.  </w:t>
      </w:r>
      <w:r>
        <w:rPr>
          <w:sz w:val="18"/>
          <w:szCs w:val="18"/>
        </w:rPr>
        <w:t xml:space="preserve">Mindfulness and yoga therapy for acute pain in sickle cell disease. Wiley / JHA.  </w:t>
      </w:r>
      <w:hyperlink r:id="rId28" w:history="1">
        <w:r>
          <w:rPr>
            <w:color w:val="1A56A0"/>
            <w:sz w:val="18"/>
            <w:szCs w:val="18"/>
            <w:u w:val="single"/>
          </w:rPr>
          <w:t>↗</w:t>
        </w:r>
      </w:hyperlink>
    </w:p>
    <w:p w14:paraId="7AF67813"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25.  </w:t>
      </w:r>
      <w:r>
        <w:rPr>
          <w:sz w:val="18"/>
          <w:szCs w:val="18"/>
        </w:rPr>
        <w:t xml:space="preserve">Sickle cell disease in tribal populations in India. IJMR.  </w:t>
      </w:r>
      <w:hyperlink r:id="rId29" w:history="1">
        <w:r>
          <w:rPr>
            <w:color w:val="1A56A0"/>
            <w:sz w:val="18"/>
            <w:szCs w:val="18"/>
            <w:u w:val="single"/>
          </w:rPr>
          <w:t>↗</w:t>
        </w:r>
      </w:hyperlink>
    </w:p>
    <w:p w14:paraId="7AF67814"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26.  </w:t>
      </w:r>
      <w:r>
        <w:rPr>
          <w:sz w:val="18"/>
          <w:szCs w:val="18"/>
        </w:rPr>
        <w:t xml:space="preserve">Epidemiology of SCD in tribal population of India. PMC.  </w:t>
      </w:r>
      <w:hyperlink r:id="rId30" w:history="1">
        <w:r>
          <w:rPr>
            <w:color w:val="1A56A0"/>
            <w:sz w:val="18"/>
            <w:szCs w:val="18"/>
            <w:u w:val="single"/>
          </w:rPr>
          <w:t>↗</w:t>
        </w:r>
      </w:hyperlink>
    </w:p>
    <w:p w14:paraId="7AF67815"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27.  </w:t>
      </w:r>
      <w:r>
        <w:rPr>
          <w:sz w:val="18"/>
          <w:szCs w:val="18"/>
        </w:rPr>
        <w:t xml:space="preserve">Sickle cell disease burden among tribal population of India. IJCMPH.  </w:t>
      </w:r>
      <w:hyperlink r:id="rId31" w:history="1">
        <w:r>
          <w:rPr>
            <w:color w:val="1A56A0"/>
            <w:sz w:val="18"/>
            <w:szCs w:val="18"/>
            <w:u w:val="single"/>
          </w:rPr>
          <w:t>↗</w:t>
        </w:r>
      </w:hyperlink>
    </w:p>
    <w:p w14:paraId="7AF67816"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28.  </w:t>
      </w:r>
      <w:r>
        <w:rPr>
          <w:sz w:val="18"/>
          <w:szCs w:val="18"/>
        </w:rPr>
        <w:t xml:space="preserve">National Sickle Cell </w:t>
      </w:r>
      <w:proofErr w:type="spellStart"/>
      <w:r>
        <w:rPr>
          <w:sz w:val="18"/>
          <w:szCs w:val="18"/>
        </w:rPr>
        <w:t>Anemia</w:t>
      </w:r>
      <w:proofErr w:type="spellEnd"/>
      <w:r>
        <w:rPr>
          <w:sz w:val="18"/>
          <w:szCs w:val="18"/>
        </w:rPr>
        <w:t xml:space="preserve"> Elimination Mission: Operational Guidelines (PDF).  </w:t>
      </w:r>
      <w:hyperlink r:id="rId32" w:history="1">
        <w:r>
          <w:rPr>
            <w:color w:val="1A56A0"/>
            <w:sz w:val="18"/>
            <w:szCs w:val="18"/>
            <w:u w:val="single"/>
          </w:rPr>
          <w:t>↗</w:t>
        </w:r>
      </w:hyperlink>
    </w:p>
    <w:p w14:paraId="7AF67817"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29.  </w:t>
      </w:r>
      <w:r>
        <w:rPr>
          <w:sz w:val="18"/>
          <w:szCs w:val="18"/>
        </w:rPr>
        <w:t xml:space="preserve">Guidelines &amp; Training Materials. NHM Sickle Cell Mission.  </w:t>
      </w:r>
      <w:hyperlink r:id="rId33" w:history="1">
        <w:r>
          <w:rPr>
            <w:color w:val="1A56A0"/>
            <w:sz w:val="18"/>
            <w:szCs w:val="18"/>
            <w:u w:val="single"/>
          </w:rPr>
          <w:t>↗</w:t>
        </w:r>
      </w:hyperlink>
    </w:p>
    <w:p w14:paraId="7AF67818"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30.  </w:t>
      </w:r>
      <w:r>
        <w:rPr>
          <w:sz w:val="18"/>
          <w:szCs w:val="18"/>
        </w:rPr>
        <w:t xml:space="preserve">Thalassemia — IAP Guidelines. Indian Academy of </w:t>
      </w:r>
      <w:proofErr w:type="spellStart"/>
      <w:r>
        <w:rPr>
          <w:sz w:val="18"/>
          <w:szCs w:val="18"/>
        </w:rPr>
        <w:t>Pediatrics</w:t>
      </w:r>
      <w:proofErr w:type="spellEnd"/>
      <w:r>
        <w:rPr>
          <w:sz w:val="18"/>
          <w:szCs w:val="18"/>
        </w:rPr>
        <w:t xml:space="preserve"> (PDF).  </w:t>
      </w:r>
      <w:hyperlink r:id="rId34" w:history="1">
        <w:r>
          <w:rPr>
            <w:color w:val="1A56A0"/>
            <w:sz w:val="18"/>
            <w:szCs w:val="18"/>
            <w:u w:val="single"/>
          </w:rPr>
          <w:t>↗</w:t>
        </w:r>
      </w:hyperlink>
    </w:p>
    <w:p w14:paraId="7AF67819"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31.  </w:t>
      </w:r>
      <w:r>
        <w:rPr>
          <w:sz w:val="18"/>
          <w:szCs w:val="18"/>
        </w:rPr>
        <w:t xml:space="preserve">Micronutrients deficiency in India: systematic review and meta-analysis. Journal of Nutritional Science.  </w:t>
      </w:r>
      <w:hyperlink r:id="rId35" w:history="1">
        <w:r>
          <w:rPr>
            <w:color w:val="1A56A0"/>
            <w:sz w:val="18"/>
            <w:szCs w:val="18"/>
            <w:u w:val="single"/>
          </w:rPr>
          <w:t>↗</w:t>
        </w:r>
      </w:hyperlink>
    </w:p>
    <w:p w14:paraId="7AF6781A"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32.  </w:t>
      </w:r>
      <w:r>
        <w:rPr>
          <w:sz w:val="18"/>
          <w:szCs w:val="18"/>
        </w:rPr>
        <w:t xml:space="preserve">Nutritional studies in patients with β-thalassemia major. Mattioli Journals.  </w:t>
      </w:r>
      <w:hyperlink r:id="rId36" w:history="1">
        <w:r>
          <w:rPr>
            <w:color w:val="1A56A0"/>
            <w:sz w:val="18"/>
            <w:szCs w:val="18"/>
            <w:u w:val="single"/>
          </w:rPr>
          <w:t>↗</w:t>
        </w:r>
      </w:hyperlink>
    </w:p>
    <w:p w14:paraId="7AF6781B"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33.  </w:t>
      </w:r>
      <w:r>
        <w:rPr>
          <w:sz w:val="18"/>
          <w:szCs w:val="18"/>
        </w:rPr>
        <w:t xml:space="preserve">Acta Biomed 2023; Vol. 94, N. 3: e2023187. Mattioli / full text (PDF).  </w:t>
      </w:r>
      <w:hyperlink r:id="rId37" w:history="1">
        <w:r>
          <w:rPr>
            <w:color w:val="1A56A0"/>
            <w:sz w:val="18"/>
            <w:szCs w:val="18"/>
            <w:u w:val="single"/>
          </w:rPr>
          <w:t>↗</w:t>
        </w:r>
      </w:hyperlink>
    </w:p>
    <w:p w14:paraId="7AF6781C"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34.  </w:t>
      </w:r>
      <w:r>
        <w:rPr>
          <w:sz w:val="18"/>
          <w:szCs w:val="18"/>
        </w:rPr>
        <w:t xml:space="preserve">Tribal food and nutrition. SCST Tribal Digital Document Repository (PDF).  </w:t>
      </w:r>
      <w:hyperlink r:id="rId38" w:history="1">
        <w:r>
          <w:rPr>
            <w:color w:val="1A56A0"/>
            <w:sz w:val="18"/>
            <w:szCs w:val="18"/>
            <w:u w:val="single"/>
          </w:rPr>
          <w:t>↗</w:t>
        </w:r>
      </w:hyperlink>
    </w:p>
    <w:p w14:paraId="7AF6781D"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35.  </w:t>
      </w:r>
      <w:r>
        <w:rPr>
          <w:sz w:val="18"/>
          <w:szCs w:val="18"/>
        </w:rPr>
        <w:t xml:space="preserve">Indigenous Foods of India: Comprehensive Narrative Review. PMC.  </w:t>
      </w:r>
      <w:hyperlink r:id="rId39" w:history="1">
        <w:r>
          <w:rPr>
            <w:color w:val="1A56A0"/>
            <w:sz w:val="18"/>
            <w:szCs w:val="18"/>
            <w:u w:val="single"/>
          </w:rPr>
          <w:t>↗</w:t>
        </w:r>
      </w:hyperlink>
    </w:p>
    <w:p w14:paraId="7AF6781E"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36.  </w:t>
      </w:r>
      <w:r>
        <w:rPr>
          <w:sz w:val="18"/>
          <w:szCs w:val="18"/>
        </w:rPr>
        <w:t xml:space="preserve">Nutritional Deficiencies in Children with Sickle Cell </w:t>
      </w:r>
      <w:proofErr w:type="spellStart"/>
      <w:r>
        <w:rPr>
          <w:sz w:val="18"/>
          <w:szCs w:val="18"/>
        </w:rPr>
        <w:t>Anemia</w:t>
      </w:r>
      <w:proofErr w:type="spellEnd"/>
      <w:r>
        <w:rPr>
          <w:sz w:val="18"/>
          <w:szCs w:val="18"/>
        </w:rPr>
        <w:t xml:space="preserve">. </w:t>
      </w:r>
      <w:proofErr w:type="spellStart"/>
      <w:r>
        <w:rPr>
          <w:sz w:val="18"/>
          <w:szCs w:val="18"/>
        </w:rPr>
        <w:t>JSciMedCentral</w:t>
      </w:r>
      <w:proofErr w:type="spellEnd"/>
      <w:r>
        <w:rPr>
          <w:sz w:val="18"/>
          <w:szCs w:val="18"/>
        </w:rPr>
        <w:t xml:space="preserve">.  </w:t>
      </w:r>
      <w:hyperlink r:id="rId40" w:history="1">
        <w:r>
          <w:rPr>
            <w:color w:val="1A56A0"/>
            <w:sz w:val="18"/>
            <w:szCs w:val="18"/>
            <w:u w:val="single"/>
          </w:rPr>
          <w:t>↗</w:t>
        </w:r>
      </w:hyperlink>
    </w:p>
    <w:p w14:paraId="7AF6781F"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37.  </w:t>
      </w:r>
      <w:r>
        <w:rPr>
          <w:sz w:val="18"/>
          <w:szCs w:val="18"/>
        </w:rPr>
        <w:t xml:space="preserve">Influence of Nutrition on Disease Severity and QoL in SCD. MJHID.  </w:t>
      </w:r>
      <w:hyperlink r:id="rId41" w:history="1">
        <w:r>
          <w:rPr>
            <w:color w:val="1A56A0"/>
            <w:sz w:val="18"/>
            <w:szCs w:val="18"/>
            <w:u w:val="single"/>
          </w:rPr>
          <w:t>↗</w:t>
        </w:r>
      </w:hyperlink>
    </w:p>
    <w:p w14:paraId="7AF67820" w14:textId="77777777" w:rsidR="00B77C85" w:rsidRDefault="00781A4D">
      <w:pPr>
        <w:spacing w:before="80" w:after="80"/>
        <w:ind w:left="400" w:hanging="400"/>
      </w:pPr>
      <w:r>
        <w:rPr>
          <w:rFonts w:ascii="Courier New" w:eastAsia="Courier New" w:hAnsi="Courier New" w:cs="Courier New"/>
          <w:b/>
          <w:bCs/>
          <w:color w:val="9A7B2F"/>
          <w:sz w:val="18"/>
          <w:szCs w:val="18"/>
        </w:rPr>
        <w:lastRenderedPageBreak/>
        <w:t xml:space="preserve">38.  </w:t>
      </w:r>
      <w:r>
        <w:rPr>
          <w:sz w:val="18"/>
          <w:szCs w:val="18"/>
        </w:rPr>
        <w:t xml:space="preserve">Training Module for Community Health Officers on SCD. NHSRC (PDF).  </w:t>
      </w:r>
      <w:hyperlink r:id="rId42" w:history="1">
        <w:r>
          <w:rPr>
            <w:color w:val="1A56A0"/>
            <w:sz w:val="18"/>
            <w:szCs w:val="18"/>
            <w:u w:val="single"/>
          </w:rPr>
          <w:t>↗</w:t>
        </w:r>
      </w:hyperlink>
    </w:p>
    <w:p w14:paraId="7AF67821"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39.  </w:t>
      </w:r>
      <w:r>
        <w:rPr>
          <w:sz w:val="18"/>
          <w:szCs w:val="18"/>
        </w:rPr>
        <w:t xml:space="preserve">Traditional to Contemporary Food Consumption Changes in Tribal Community. </w:t>
      </w:r>
      <w:proofErr w:type="spellStart"/>
      <w:r>
        <w:rPr>
          <w:sz w:val="18"/>
          <w:szCs w:val="18"/>
        </w:rPr>
        <w:t>BioRes</w:t>
      </w:r>
      <w:proofErr w:type="spellEnd"/>
      <w:r>
        <w:rPr>
          <w:sz w:val="18"/>
          <w:szCs w:val="18"/>
        </w:rPr>
        <w:t xml:space="preserve"> Scientia.  </w:t>
      </w:r>
      <w:hyperlink r:id="rId43" w:history="1">
        <w:r>
          <w:rPr>
            <w:color w:val="1A56A0"/>
            <w:sz w:val="18"/>
            <w:szCs w:val="18"/>
            <w:u w:val="single"/>
          </w:rPr>
          <w:t>↗</w:t>
        </w:r>
      </w:hyperlink>
    </w:p>
    <w:p w14:paraId="7AF67822"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40.  </w:t>
      </w:r>
      <w:r>
        <w:rPr>
          <w:sz w:val="18"/>
          <w:szCs w:val="18"/>
        </w:rPr>
        <w:t xml:space="preserve">Nutritive Analysis of Indigenous Traditional Food Items of Tribal Community. </w:t>
      </w:r>
      <w:proofErr w:type="spellStart"/>
      <w:r>
        <w:rPr>
          <w:sz w:val="18"/>
          <w:szCs w:val="18"/>
        </w:rPr>
        <w:t>Vaagdhara</w:t>
      </w:r>
      <w:proofErr w:type="spellEnd"/>
      <w:r>
        <w:rPr>
          <w:sz w:val="18"/>
          <w:szCs w:val="18"/>
        </w:rPr>
        <w:t xml:space="preserve"> (PDF).  </w:t>
      </w:r>
      <w:hyperlink r:id="rId44" w:history="1">
        <w:r>
          <w:rPr>
            <w:color w:val="1A56A0"/>
            <w:sz w:val="18"/>
            <w:szCs w:val="18"/>
            <w:u w:val="single"/>
          </w:rPr>
          <w:t>↗</w:t>
        </w:r>
      </w:hyperlink>
    </w:p>
    <w:p w14:paraId="7AF67823"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41.  </w:t>
      </w:r>
      <w:r>
        <w:rPr>
          <w:sz w:val="18"/>
          <w:szCs w:val="18"/>
        </w:rPr>
        <w:t xml:space="preserve">Rural Indian Regional Diets. Wise Nutrition Coaching.  </w:t>
      </w:r>
      <w:hyperlink r:id="rId45" w:history="1">
        <w:r>
          <w:rPr>
            <w:color w:val="1A56A0"/>
            <w:sz w:val="18"/>
            <w:szCs w:val="18"/>
            <w:u w:val="single"/>
          </w:rPr>
          <w:t>↗</w:t>
        </w:r>
      </w:hyperlink>
    </w:p>
    <w:p w14:paraId="7AF67824"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42.  </w:t>
      </w:r>
      <w:r>
        <w:rPr>
          <w:sz w:val="18"/>
          <w:szCs w:val="18"/>
        </w:rPr>
        <w:t xml:space="preserve">National Sickle Cell </w:t>
      </w:r>
      <w:proofErr w:type="spellStart"/>
      <w:r>
        <w:rPr>
          <w:sz w:val="18"/>
          <w:szCs w:val="18"/>
        </w:rPr>
        <w:t>Anemia</w:t>
      </w:r>
      <w:proofErr w:type="spellEnd"/>
      <w:r>
        <w:rPr>
          <w:sz w:val="18"/>
          <w:szCs w:val="18"/>
        </w:rPr>
        <w:t xml:space="preserve"> Elimination Mission — UPSC/PSM Update.  </w:t>
      </w:r>
      <w:hyperlink r:id="rId46" w:history="1">
        <w:r>
          <w:rPr>
            <w:color w:val="1A56A0"/>
            <w:sz w:val="18"/>
            <w:szCs w:val="18"/>
            <w:u w:val="single"/>
          </w:rPr>
          <w:t>↗</w:t>
        </w:r>
      </w:hyperlink>
    </w:p>
    <w:p w14:paraId="7AF67825"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43.  </w:t>
      </w:r>
      <w:r>
        <w:rPr>
          <w:sz w:val="18"/>
          <w:szCs w:val="18"/>
        </w:rPr>
        <w:t xml:space="preserve">The Role of Nutrition in Sickle Cell Disease. SAGE NMI.  </w:t>
      </w:r>
      <w:hyperlink r:id="rId47" w:history="1">
        <w:r>
          <w:rPr>
            <w:color w:val="1A56A0"/>
            <w:sz w:val="18"/>
            <w:szCs w:val="18"/>
            <w:u w:val="single"/>
          </w:rPr>
          <w:t>↗</w:t>
        </w:r>
      </w:hyperlink>
    </w:p>
    <w:p w14:paraId="7AF67826"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44.  </w:t>
      </w:r>
      <w:r>
        <w:rPr>
          <w:sz w:val="18"/>
          <w:szCs w:val="18"/>
        </w:rPr>
        <w:t xml:space="preserve">Nutrition and sickle cell disease. PubMed.  </w:t>
      </w:r>
      <w:hyperlink r:id="rId48" w:history="1">
        <w:r>
          <w:rPr>
            <w:color w:val="1A56A0"/>
            <w:sz w:val="18"/>
            <w:szCs w:val="18"/>
            <w:u w:val="single"/>
          </w:rPr>
          <w:t>↗</w:t>
        </w:r>
      </w:hyperlink>
    </w:p>
    <w:p w14:paraId="7AF67827"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45.  </w:t>
      </w:r>
      <w:r>
        <w:rPr>
          <w:sz w:val="18"/>
          <w:szCs w:val="18"/>
        </w:rPr>
        <w:t xml:space="preserve">Omega-3 supplementation in SCD. Nutrition Guide for Clinicians / PCRM.  </w:t>
      </w:r>
      <w:hyperlink r:id="rId49" w:history="1">
        <w:r>
          <w:rPr>
            <w:color w:val="1A56A0"/>
            <w:sz w:val="18"/>
            <w:szCs w:val="18"/>
            <w:u w:val="single"/>
          </w:rPr>
          <w:t>↗</w:t>
        </w:r>
      </w:hyperlink>
    </w:p>
    <w:p w14:paraId="7AF67828"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46.  </w:t>
      </w:r>
      <w:r>
        <w:rPr>
          <w:sz w:val="18"/>
          <w:szCs w:val="18"/>
        </w:rPr>
        <w:t xml:space="preserve">Folic Acid in the Treatment of Sickle Cell Disease. PMC.  </w:t>
      </w:r>
      <w:hyperlink r:id="rId50" w:history="1">
        <w:r>
          <w:rPr>
            <w:color w:val="1A56A0"/>
            <w:sz w:val="18"/>
            <w:szCs w:val="18"/>
            <w:u w:val="single"/>
          </w:rPr>
          <w:t>↗</w:t>
        </w:r>
      </w:hyperlink>
    </w:p>
    <w:p w14:paraId="7AF67829"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47.  </w:t>
      </w:r>
      <w:r>
        <w:rPr>
          <w:sz w:val="18"/>
          <w:szCs w:val="18"/>
        </w:rPr>
        <w:t xml:space="preserve">Exercise Training in SCD: Friend or Foe? </w:t>
      </w:r>
      <w:proofErr w:type="spellStart"/>
      <w:r>
        <w:rPr>
          <w:sz w:val="18"/>
          <w:szCs w:val="18"/>
        </w:rPr>
        <w:t>Hematology</w:t>
      </w:r>
      <w:proofErr w:type="spellEnd"/>
      <w:r>
        <w:rPr>
          <w:sz w:val="18"/>
          <w:szCs w:val="18"/>
        </w:rPr>
        <w:t xml:space="preserve"> Advisor.  </w:t>
      </w:r>
      <w:hyperlink r:id="rId51" w:history="1">
        <w:r>
          <w:rPr>
            <w:color w:val="1A56A0"/>
            <w:sz w:val="18"/>
            <w:szCs w:val="18"/>
            <w:u w:val="single"/>
          </w:rPr>
          <w:t>↗</w:t>
        </w:r>
      </w:hyperlink>
    </w:p>
    <w:p w14:paraId="7AF6782A"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48.  </w:t>
      </w:r>
      <w:r>
        <w:rPr>
          <w:sz w:val="18"/>
          <w:szCs w:val="18"/>
        </w:rPr>
        <w:t xml:space="preserve">Yoga Module Validation for Sickle Cell Disease. DOAJ.  </w:t>
      </w:r>
      <w:hyperlink r:id="rId52" w:history="1">
        <w:r>
          <w:rPr>
            <w:color w:val="1A56A0"/>
            <w:sz w:val="18"/>
            <w:szCs w:val="18"/>
            <w:u w:val="single"/>
          </w:rPr>
          <w:t>↗</w:t>
        </w:r>
      </w:hyperlink>
    </w:p>
    <w:p w14:paraId="7AF6782B"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49.  </w:t>
      </w:r>
      <w:r>
        <w:rPr>
          <w:sz w:val="18"/>
          <w:szCs w:val="18"/>
        </w:rPr>
        <w:t xml:space="preserve">Yoga therapy for chronic pain in sickle cell disease. UTSW (PDF).  </w:t>
      </w:r>
      <w:hyperlink r:id="rId53" w:history="1">
        <w:r>
          <w:rPr>
            <w:color w:val="1A56A0"/>
            <w:sz w:val="18"/>
            <w:szCs w:val="18"/>
            <w:u w:val="single"/>
          </w:rPr>
          <w:t>↗</w:t>
        </w:r>
      </w:hyperlink>
    </w:p>
    <w:p w14:paraId="7AF6782C"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50.  </w:t>
      </w:r>
      <w:r>
        <w:rPr>
          <w:sz w:val="18"/>
          <w:szCs w:val="18"/>
        </w:rPr>
        <w:t xml:space="preserve">2021 TIF Guidelines for the Management of Transfusion-Dependent Thalassaemia. PMC.  </w:t>
      </w:r>
      <w:hyperlink r:id="rId54" w:history="1">
        <w:r>
          <w:rPr>
            <w:color w:val="1A56A0"/>
            <w:sz w:val="18"/>
            <w:szCs w:val="18"/>
            <w:u w:val="single"/>
          </w:rPr>
          <w:t>↗</w:t>
        </w:r>
      </w:hyperlink>
    </w:p>
    <w:p w14:paraId="7AF6782D"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51.  </w:t>
      </w:r>
      <w:r>
        <w:rPr>
          <w:sz w:val="18"/>
          <w:szCs w:val="18"/>
        </w:rPr>
        <w:t xml:space="preserve">Treatment of Sickle Cell Disorders by Ayurvedic medicine. PMC.  </w:t>
      </w:r>
      <w:hyperlink r:id="rId55" w:history="1">
        <w:r>
          <w:rPr>
            <w:color w:val="1A56A0"/>
            <w:sz w:val="18"/>
            <w:szCs w:val="18"/>
            <w:u w:val="single"/>
          </w:rPr>
          <w:t>↗</w:t>
        </w:r>
      </w:hyperlink>
    </w:p>
    <w:p w14:paraId="7AF6782E"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52.  </w:t>
      </w:r>
      <w:r>
        <w:rPr>
          <w:sz w:val="18"/>
          <w:szCs w:val="18"/>
        </w:rPr>
        <w:t xml:space="preserve">A clinical study of SCD and its management through </w:t>
      </w:r>
      <w:proofErr w:type="spellStart"/>
      <w:r>
        <w:rPr>
          <w:sz w:val="18"/>
          <w:szCs w:val="18"/>
        </w:rPr>
        <w:t>Kiratatikta</w:t>
      </w:r>
      <w:proofErr w:type="spellEnd"/>
      <w:r>
        <w:rPr>
          <w:sz w:val="18"/>
          <w:szCs w:val="18"/>
        </w:rPr>
        <w:t xml:space="preserve"> and </w:t>
      </w:r>
      <w:proofErr w:type="spellStart"/>
      <w:r>
        <w:rPr>
          <w:sz w:val="18"/>
          <w:szCs w:val="18"/>
        </w:rPr>
        <w:t>Guduchi</w:t>
      </w:r>
      <w:proofErr w:type="spellEnd"/>
      <w:r>
        <w:rPr>
          <w:sz w:val="18"/>
          <w:szCs w:val="18"/>
        </w:rPr>
        <w:t xml:space="preserve">. Biomedicine.  </w:t>
      </w:r>
      <w:hyperlink r:id="rId56" w:history="1">
        <w:r>
          <w:rPr>
            <w:color w:val="1A56A0"/>
            <w:sz w:val="18"/>
            <w:szCs w:val="18"/>
            <w:u w:val="single"/>
          </w:rPr>
          <w:t>↗</w:t>
        </w:r>
      </w:hyperlink>
    </w:p>
    <w:p w14:paraId="7AF6782F"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54.  </w:t>
      </w:r>
      <w:r>
        <w:rPr>
          <w:sz w:val="18"/>
          <w:szCs w:val="18"/>
        </w:rPr>
        <w:t xml:space="preserve">Efficacy of an Ayurvedic Intervention as Adjunct to Standard Care for SCA. JMIR Research Protocols.  </w:t>
      </w:r>
      <w:hyperlink r:id="rId57" w:history="1">
        <w:r>
          <w:rPr>
            <w:color w:val="1A56A0"/>
            <w:sz w:val="18"/>
            <w:szCs w:val="18"/>
            <w:u w:val="single"/>
          </w:rPr>
          <w:t>↗</w:t>
        </w:r>
      </w:hyperlink>
    </w:p>
    <w:p w14:paraId="7AF67830"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55.  </w:t>
      </w:r>
      <w:r>
        <w:rPr>
          <w:sz w:val="18"/>
          <w:szCs w:val="18"/>
        </w:rPr>
        <w:t xml:space="preserve">Efficacy of Ayurvedic Intervention for SCA. PMC.  </w:t>
      </w:r>
      <w:hyperlink r:id="rId58" w:history="1">
        <w:r>
          <w:rPr>
            <w:color w:val="1A56A0"/>
            <w:sz w:val="18"/>
            <w:szCs w:val="18"/>
            <w:u w:val="single"/>
          </w:rPr>
          <w:t>↗</w:t>
        </w:r>
      </w:hyperlink>
    </w:p>
    <w:p w14:paraId="7AF67831"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56.  </w:t>
      </w:r>
      <w:r>
        <w:rPr>
          <w:sz w:val="18"/>
          <w:szCs w:val="18"/>
        </w:rPr>
        <w:t xml:space="preserve">Sickle Cell Disease-related stigma, economic loss and quality of life. CTUAP.  </w:t>
      </w:r>
      <w:hyperlink r:id="rId59" w:history="1">
        <w:r>
          <w:rPr>
            <w:color w:val="1A56A0"/>
            <w:sz w:val="18"/>
            <w:szCs w:val="18"/>
            <w:u w:val="single"/>
          </w:rPr>
          <w:t>↗</w:t>
        </w:r>
      </w:hyperlink>
    </w:p>
    <w:p w14:paraId="7AF67832"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57.  </w:t>
      </w:r>
      <w:r>
        <w:rPr>
          <w:sz w:val="18"/>
          <w:szCs w:val="18"/>
        </w:rPr>
        <w:t xml:space="preserve">Low vitamin B12 in SCD: Data from a large cohort study in Tanzania. Wiley/BJH.  </w:t>
      </w:r>
      <w:hyperlink r:id="rId60" w:history="1">
        <w:r>
          <w:rPr>
            <w:color w:val="1A56A0"/>
            <w:sz w:val="18"/>
            <w:szCs w:val="18"/>
            <w:u w:val="single"/>
          </w:rPr>
          <w:t>↗</w:t>
        </w:r>
      </w:hyperlink>
    </w:p>
    <w:p w14:paraId="7AF67833"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58.  </w:t>
      </w:r>
      <w:r>
        <w:rPr>
          <w:sz w:val="18"/>
          <w:szCs w:val="18"/>
        </w:rPr>
        <w:t xml:space="preserve">Dietary intakes and nutritional status of children with SCD. PMC.  </w:t>
      </w:r>
      <w:hyperlink r:id="rId61" w:history="1">
        <w:r>
          <w:rPr>
            <w:color w:val="1A56A0"/>
            <w:sz w:val="18"/>
            <w:szCs w:val="18"/>
            <w:u w:val="single"/>
          </w:rPr>
          <w:t>↗</w:t>
        </w:r>
      </w:hyperlink>
    </w:p>
    <w:p w14:paraId="7AF67834"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59.  </w:t>
      </w:r>
      <w:r>
        <w:rPr>
          <w:sz w:val="18"/>
          <w:szCs w:val="18"/>
        </w:rPr>
        <w:t xml:space="preserve">Exercise with sickle cell disease: guidance and safety. sickle-cell.com.  </w:t>
      </w:r>
      <w:hyperlink r:id="rId62" w:history="1">
        <w:r>
          <w:rPr>
            <w:color w:val="1A56A0"/>
            <w:sz w:val="18"/>
            <w:szCs w:val="18"/>
            <w:u w:val="single"/>
          </w:rPr>
          <w:t>↗</w:t>
        </w:r>
      </w:hyperlink>
    </w:p>
    <w:p w14:paraId="7AF67835" w14:textId="77777777" w:rsidR="00B77C85" w:rsidRDefault="00781A4D">
      <w:pPr>
        <w:spacing w:before="80" w:after="80"/>
        <w:ind w:left="400" w:hanging="400"/>
      </w:pPr>
      <w:r>
        <w:rPr>
          <w:rFonts w:ascii="Courier New" w:eastAsia="Courier New" w:hAnsi="Courier New" w:cs="Courier New"/>
          <w:b/>
          <w:bCs/>
          <w:color w:val="9A7B2F"/>
          <w:sz w:val="18"/>
          <w:szCs w:val="18"/>
        </w:rPr>
        <w:t xml:space="preserve">60.  </w:t>
      </w:r>
      <w:r>
        <w:rPr>
          <w:sz w:val="18"/>
          <w:szCs w:val="18"/>
        </w:rPr>
        <w:t xml:space="preserve">Can You Exercise with Sickle Cell Disease? sickle-cell.com.  </w:t>
      </w:r>
      <w:hyperlink r:id="rId63" w:history="1">
        <w:r>
          <w:rPr>
            <w:color w:val="1A56A0"/>
            <w:sz w:val="18"/>
            <w:szCs w:val="18"/>
            <w:u w:val="single"/>
          </w:rPr>
          <w:t>↗</w:t>
        </w:r>
      </w:hyperlink>
    </w:p>
    <w:p w14:paraId="7AF67836" w14:textId="77777777" w:rsidR="00B77C85" w:rsidRDefault="00B77C85">
      <w:pPr>
        <w:spacing w:before="240" w:after="120"/>
      </w:pPr>
    </w:p>
    <w:p w14:paraId="7AF67837" w14:textId="77777777" w:rsidR="00B77C85" w:rsidRDefault="00781A4D">
      <w:pPr>
        <w:spacing w:before="240" w:after="240"/>
        <w:jc w:val="center"/>
      </w:pPr>
      <w:r>
        <w:rPr>
          <w:i/>
          <w:iCs/>
          <w:color w:val="9A7B2F"/>
          <w:sz w:val="18"/>
          <w:szCs w:val="18"/>
        </w:rPr>
        <w:t>— End of Review —</w:t>
      </w:r>
    </w:p>
    <w:sectPr w:rsidR="00B77C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360D9"/>
    <w:multiLevelType w:val="hybridMultilevel"/>
    <w:tmpl w:val="47564120"/>
    <w:lvl w:ilvl="0" w:tplc="EFDA1D34">
      <w:start w:val="1"/>
      <w:numFmt w:val="bullet"/>
      <w:lvlText w:val="–"/>
      <w:lvlJc w:val="left"/>
      <w:pPr>
        <w:ind w:left="560" w:hanging="280"/>
      </w:pPr>
    </w:lvl>
    <w:lvl w:ilvl="1" w:tplc="BB4842D0">
      <w:numFmt w:val="decimal"/>
      <w:lvlText w:val=""/>
      <w:lvlJc w:val="left"/>
    </w:lvl>
    <w:lvl w:ilvl="2" w:tplc="B6160E16">
      <w:numFmt w:val="decimal"/>
      <w:lvlText w:val=""/>
      <w:lvlJc w:val="left"/>
    </w:lvl>
    <w:lvl w:ilvl="3" w:tplc="E2662192">
      <w:numFmt w:val="decimal"/>
      <w:lvlText w:val=""/>
      <w:lvlJc w:val="left"/>
    </w:lvl>
    <w:lvl w:ilvl="4" w:tplc="558E7E4C">
      <w:numFmt w:val="decimal"/>
      <w:lvlText w:val=""/>
      <w:lvlJc w:val="left"/>
    </w:lvl>
    <w:lvl w:ilvl="5" w:tplc="B764F194">
      <w:numFmt w:val="decimal"/>
      <w:lvlText w:val=""/>
      <w:lvlJc w:val="left"/>
    </w:lvl>
    <w:lvl w:ilvl="6" w:tplc="3C62D2D6">
      <w:numFmt w:val="decimal"/>
      <w:lvlText w:val=""/>
      <w:lvlJc w:val="left"/>
    </w:lvl>
    <w:lvl w:ilvl="7" w:tplc="D6A876F4">
      <w:numFmt w:val="decimal"/>
      <w:lvlText w:val=""/>
      <w:lvlJc w:val="left"/>
    </w:lvl>
    <w:lvl w:ilvl="8" w:tplc="DD8CC8B8">
      <w:numFmt w:val="decimal"/>
      <w:lvlText w:val=""/>
      <w:lvlJc w:val="left"/>
    </w:lvl>
  </w:abstractNum>
  <w:abstractNum w:abstractNumId="1" w15:restartNumberingAfterBreak="0">
    <w:nsid w:val="5C4179DA"/>
    <w:multiLevelType w:val="hybridMultilevel"/>
    <w:tmpl w:val="028AB606"/>
    <w:lvl w:ilvl="0" w:tplc="AE36C4DC">
      <w:start w:val="1"/>
      <w:numFmt w:val="bullet"/>
      <w:lvlText w:val="●"/>
      <w:lvlJc w:val="left"/>
      <w:pPr>
        <w:ind w:left="720" w:hanging="360"/>
      </w:pPr>
    </w:lvl>
    <w:lvl w:ilvl="1" w:tplc="C3A8959E">
      <w:start w:val="1"/>
      <w:numFmt w:val="bullet"/>
      <w:lvlText w:val="○"/>
      <w:lvlJc w:val="left"/>
      <w:pPr>
        <w:ind w:left="1440" w:hanging="360"/>
      </w:pPr>
    </w:lvl>
    <w:lvl w:ilvl="2" w:tplc="5462CC54">
      <w:start w:val="1"/>
      <w:numFmt w:val="bullet"/>
      <w:lvlText w:val="■"/>
      <w:lvlJc w:val="left"/>
      <w:pPr>
        <w:ind w:left="2160" w:hanging="360"/>
      </w:pPr>
    </w:lvl>
    <w:lvl w:ilvl="3" w:tplc="3C6668F0">
      <w:start w:val="1"/>
      <w:numFmt w:val="bullet"/>
      <w:lvlText w:val="●"/>
      <w:lvlJc w:val="left"/>
      <w:pPr>
        <w:ind w:left="2880" w:hanging="360"/>
      </w:pPr>
    </w:lvl>
    <w:lvl w:ilvl="4" w:tplc="4B240554">
      <w:start w:val="1"/>
      <w:numFmt w:val="bullet"/>
      <w:lvlText w:val="○"/>
      <w:lvlJc w:val="left"/>
      <w:pPr>
        <w:ind w:left="3600" w:hanging="360"/>
      </w:pPr>
    </w:lvl>
    <w:lvl w:ilvl="5" w:tplc="AB66D820">
      <w:start w:val="1"/>
      <w:numFmt w:val="bullet"/>
      <w:lvlText w:val="■"/>
      <w:lvlJc w:val="left"/>
      <w:pPr>
        <w:ind w:left="4320" w:hanging="360"/>
      </w:pPr>
    </w:lvl>
    <w:lvl w:ilvl="6" w:tplc="BF00F018">
      <w:start w:val="1"/>
      <w:numFmt w:val="bullet"/>
      <w:lvlText w:val="●"/>
      <w:lvlJc w:val="left"/>
      <w:pPr>
        <w:ind w:left="5040" w:hanging="360"/>
      </w:pPr>
    </w:lvl>
    <w:lvl w:ilvl="7" w:tplc="8F1EEDBA">
      <w:start w:val="1"/>
      <w:numFmt w:val="bullet"/>
      <w:lvlText w:val="●"/>
      <w:lvlJc w:val="left"/>
      <w:pPr>
        <w:ind w:left="5760" w:hanging="360"/>
      </w:pPr>
    </w:lvl>
    <w:lvl w:ilvl="8" w:tplc="7E2CF90E">
      <w:start w:val="1"/>
      <w:numFmt w:val="bullet"/>
      <w:lvlText w:val="●"/>
      <w:lvlJc w:val="left"/>
      <w:pPr>
        <w:ind w:left="6480" w:hanging="360"/>
      </w:pPr>
    </w:lvl>
  </w:abstractNum>
  <w:num w:numId="1" w16cid:durableId="647437599">
    <w:abstractNumId w:val="1"/>
    <w:lvlOverride w:ilvl="0">
      <w:startOverride w:val="1"/>
    </w:lvlOverride>
  </w:num>
  <w:num w:numId="2" w16cid:durableId="6792841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C85"/>
    <w:rsid w:val="001A5772"/>
    <w:rsid w:val="005B77B1"/>
    <w:rsid w:val="00781A4D"/>
    <w:rsid w:val="00B77C85"/>
    <w:rsid w:val="00BC5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770F"/>
  <w15:docId w15:val="{931CD127-C8AB-4C4D-A49F-EDE7060E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1111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research-archive.org/index.php/rars/preprint/view/164" TargetMode="External"/><Relationship Id="rId21" Type="http://schemas.openxmlformats.org/officeDocument/2006/relationships/hyperlink" Target="https://www.hematology.org/newsroom/press-releases/2019/light-moderate-exercise-may-bring-benefits-for-sickle-cell-disease" TargetMode="External"/><Relationship Id="rId34" Type="http://schemas.openxmlformats.org/officeDocument/2006/relationships/hyperlink" Target="https://iapindia.org/pdf/Ch-087-Thalassemia.pdf" TargetMode="External"/><Relationship Id="rId42" Type="http://schemas.openxmlformats.org/officeDocument/2006/relationships/hyperlink" Target="https://nhsrcindia.org/sites/default/files/2023-07/Training%20Manual%20on%20SCD%20for%20Community%20Health%20Officer%20(2).pdf" TargetMode="External"/><Relationship Id="rId47" Type="http://schemas.openxmlformats.org/officeDocument/2006/relationships/hyperlink" Target="https://journals.sagepub.com/doi/10.4137/NMI.S5048" TargetMode="External"/><Relationship Id="rId50" Type="http://schemas.openxmlformats.org/officeDocument/2006/relationships/hyperlink" Target="https://pmc.ncbi.nlm.nih.gov/articles/PMC11085970/" TargetMode="External"/><Relationship Id="rId55" Type="http://schemas.openxmlformats.org/officeDocument/2006/relationships/hyperlink" Target="https://pmc.ncbi.nlm.nih.gov/articles/PMC3331087/" TargetMode="External"/><Relationship Id="rId63" Type="http://schemas.openxmlformats.org/officeDocument/2006/relationships/hyperlink" Target="https://sickle-cell.com/exercise" TargetMode="External"/><Relationship Id="rId7" Type="http://schemas.openxmlformats.org/officeDocument/2006/relationships/hyperlink" Target="https://sickle.nhm.gov.in/uploads/guidelines/NHM_Guidelines_on_Hemoglobinopathies_in_India.pdf" TargetMode="External"/><Relationship Id="rId2" Type="http://schemas.openxmlformats.org/officeDocument/2006/relationships/styles" Target="styles.xml"/><Relationship Id="rId16" Type="http://schemas.openxmlformats.org/officeDocument/2006/relationships/hyperlink" Target="https://pmc.ncbi.nlm.nih.gov/articles/PMC12786485/" TargetMode="External"/><Relationship Id="rId29" Type="http://schemas.openxmlformats.org/officeDocument/2006/relationships/hyperlink" Target="https://ijmr.org.in/sickle-cell-disease-in-tribal-populations-in-india/" TargetMode="External"/><Relationship Id="rId11" Type="http://schemas.openxmlformats.org/officeDocument/2006/relationships/hyperlink" Target="https://pmc.ncbi.nlm.nih.gov/articles/PMC3854110/" TargetMode="External"/><Relationship Id="rId24" Type="http://schemas.openxmlformats.org/officeDocument/2006/relationships/hyperlink" Target="https://pmc.ncbi.nlm.nih.gov/articles/PMC10308461/" TargetMode="External"/><Relationship Id="rId32" Type="http://schemas.openxmlformats.org/officeDocument/2006/relationships/hyperlink" Target="https://sickle.nhm.gov.in/uploads/english/OperationalGuidelines.pdf" TargetMode="External"/><Relationship Id="rId37" Type="http://schemas.openxmlformats.org/officeDocument/2006/relationships/hyperlink" Target="https://www.mattioli1885journals.com/index.php/actabiomedica/article/download/14732/11499/108161" TargetMode="External"/><Relationship Id="rId40" Type="http://schemas.openxmlformats.org/officeDocument/2006/relationships/hyperlink" Target="https://www.jscimedcentral.com/jounal-article-info/Annals-of-Pediatrics-and-Child-Health/Nutritional-Deficiencies-in--Children;-Vitamin-D,-Iron,-and--Micronutrient-Deficiencies--in-Children-with-Sickle-Cell--Anemia-10940" TargetMode="External"/><Relationship Id="rId45" Type="http://schemas.openxmlformats.org/officeDocument/2006/relationships/hyperlink" Target="https://wisenutritioncoaching.com.au/2020/02/rural-indian-regional-diets/" TargetMode="External"/><Relationship Id="rId53" Type="http://schemas.openxmlformats.org/officeDocument/2006/relationships/hyperlink" Target="https://utswmed-ir.tdl.org/bitstreams/92890b9c-300c-483e-842e-a3f8ef5673d4/download" TargetMode="External"/><Relationship Id="rId58" Type="http://schemas.openxmlformats.org/officeDocument/2006/relationships/hyperlink" Target="https://pmc.ncbi.nlm.nih.gov/articles/PMC12755844/" TargetMode="External"/><Relationship Id="rId5" Type="http://schemas.openxmlformats.org/officeDocument/2006/relationships/hyperlink" Target="https://pmc.ncbi.nlm.nih.gov/articles/PMC4510747/" TargetMode="External"/><Relationship Id="rId61" Type="http://schemas.openxmlformats.org/officeDocument/2006/relationships/hyperlink" Target="https://pmc.ncbi.nlm.nih.gov/articles/PMC7050774/" TargetMode="External"/><Relationship Id="rId19" Type="http://schemas.openxmlformats.org/officeDocument/2006/relationships/hyperlink" Target="https://thalassemia.com/treatment-guidelines-16.aspx" TargetMode="External"/><Relationship Id="rId14" Type="http://schemas.openxmlformats.org/officeDocument/2006/relationships/hyperlink" Target="https://pmc.ncbi.nlm.nih.gov/articles/PMC8268821/" TargetMode="External"/><Relationship Id="rId22" Type="http://schemas.openxmlformats.org/officeDocument/2006/relationships/hyperlink" Target="https://pmc.ncbi.nlm.nih.gov/articles/PMC8446247/" TargetMode="External"/><Relationship Id="rId27" Type="http://schemas.openxmlformats.org/officeDocument/2006/relationships/hyperlink" Target="https://pmc.ncbi.nlm.nih.gov/articles/PMC10919411/" TargetMode="External"/><Relationship Id="rId30" Type="http://schemas.openxmlformats.org/officeDocument/2006/relationships/hyperlink" Target="https://pmc.ncbi.nlm.nih.gov/articles/PMC11739570/" TargetMode="External"/><Relationship Id="rId35" Type="http://schemas.openxmlformats.org/officeDocument/2006/relationships/hyperlink" Target="https://www.cambridge.org/core/services/aop-cambridge-core/content/view/6C38438243F4AE6748E6968C638D60C2/S2048679021001026a.pdf" TargetMode="External"/><Relationship Id="rId43" Type="http://schemas.openxmlformats.org/officeDocument/2006/relationships/hyperlink" Target="https://bioresscientia.com/article/traditional-to-contemporary-food-consumption-changes-in-the-ruler-tribal-community" TargetMode="External"/><Relationship Id="rId48" Type="http://schemas.openxmlformats.org/officeDocument/2006/relationships/hyperlink" Target="https://pubmed.ncbi.nlm.nih.gov/3551592/" TargetMode="External"/><Relationship Id="rId56" Type="http://schemas.openxmlformats.org/officeDocument/2006/relationships/hyperlink" Target="https://biomedicineonline.org/article/a-clinical-study-of-sickle-cell-anemia-and-its-management-through-kiratatikta-swertia-chirayata-ghanvati-and-guduchi-tinospora-cordifolia-ghanvati/" TargetMode="External"/><Relationship Id="rId64" Type="http://schemas.openxmlformats.org/officeDocument/2006/relationships/fontTable" Target="fontTable.xml"/><Relationship Id="rId8" Type="http://schemas.openxmlformats.org/officeDocument/2006/relationships/hyperlink" Target="https://www.rarediseaseadvisor.com/hcp-resource/sickle-cell-disease-pathophysiology/" TargetMode="External"/><Relationship Id="rId51" Type="http://schemas.openxmlformats.org/officeDocument/2006/relationships/hyperlink" Target="https://www.hematologyadvisor.com/features/sickle-cell-disease-and-exercise-training/" TargetMode="External"/><Relationship Id="rId3" Type="http://schemas.openxmlformats.org/officeDocument/2006/relationships/settings" Target="settings.xml"/><Relationship Id="rId12" Type="http://schemas.openxmlformats.org/officeDocument/2006/relationships/hyperlink" Target="https://www.dovepress.com/nutrition-in-sickle-cell-disease-recent-insights-peer-reviewed-fulltext-article-NDS" TargetMode="External"/><Relationship Id="rId17" Type="http://schemas.openxmlformats.org/officeDocument/2006/relationships/hyperlink" Target="https://pmc.ncbi.nlm.nih.gov/articles/PMC8732300/" TargetMode="External"/><Relationship Id="rId25" Type="http://schemas.openxmlformats.org/officeDocument/2006/relationships/hyperlink" Target="https://thalassemia.ucsf.edu/nutrition" TargetMode="External"/><Relationship Id="rId33" Type="http://schemas.openxmlformats.org/officeDocument/2006/relationships/hyperlink" Target="https://sickle.nhm.gov.in/home/guidelines" TargetMode="External"/><Relationship Id="rId38" Type="http://schemas.openxmlformats.org/officeDocument/2006/relationships/hyperlink" Target="https://repository.tribal.gov.in/bitstream/123456789/75353/1/SCST_2022_journal_0508.pdf" TargetMode="External"/><Relationship Id="rId46" Type="http://schemas.openxmlformats.org/officeDocument/2006/relationships/hyperlink" Target="https://upsc.medcampus.io/national-sickle-cell-anemia-elimination-mission-psm-update-upsc/" TargetMode="External"/><Relationship Id="rId59" Type="http://schemas.openxmlformats.org/officeDocument/2006/relationships/hyperlink" Target="https://www.ctuap.ac.in/sickle-cell-disease-related-stigma-economic-loss-and-quality-of-life-among-tribal-population-of-india/" TargetMode="External"/><Relationship Id="rId20" Type="http://schemas.openxmlformats.org/officeDocument/2006/relationships/hyperlink" Target="https://www.sciencedirect.com/science/article/abs/pii/S0268960X96900181" TargetMode="External"/><Relationship Id="rId41" Type="http://schemas.openxmlformats.org/officeDocument/2006/relationships/hyperlink" Target="https://www.mjhid.org/mjhid/article/view/4381/3958" TargetMode="External"/><Relationship Id="rId54" Type="http://schemas.openxmlformats.org/officeDocument/2006/relationships/hyperlink" Target="https://pmc.ncbi.nlm.nih.gov/articles/PMC9345633/" TargetMode="External"/><Relationship Id="rId62" Type="http://schemas.openxmlformats.org/officeDocument/2006/relationships/hyperlink" Target="https://sickle-cell.com/exercise" TargetMode="External"/><Relationship Id="rId1" Type="http://schemas.openxmlformats.org/officeDocument/2006/relationships/numbering" Target="numbering.xml"/><Relationship Id="rId6" Type="http://schemas.openxmlformats.org/officeDocument/2006/relationships/hyperlink" Target="https://www.frontiersin.org/journals/medicine/articles/10.3389/fmed.2022.880752/full" TargetMode="External"/><Relationship Id="rId15" Type="http://schemas.openxmlformats.org/officeDocument/2006/relationships/hyperlink" Target="https://journals.sagepub.com/doi/10.1177/26348535221103560" TargetMode="External"/><Relationship Id="rId23" Type="http://schemas.openxmlformats.org/officeDocument/2006/relationships/hyperlink" Target="https://onlinelibrary.wiley.com/doi/10.1002/pbc.24163" TargetMode="External"/><Relationship Id="rId28" Type="http://schemas.openxmlformats.org/officeDocument/2006/relationships/hyperlink" Target="https://onlinelibrary.wiley.com/doi/full/10.1002/jha2.819" TargetMode="External"/><Relationship Id="rId36" Type="http://schemas.openxmlformats.org/officeDocument/2006/relationships/hyperlink" Target="https://www.mattioli1885journals.com/index.php/actabiomedica/onlinefirst/view/14732" TargetMode="External"/><Relationship Id="rId49" Type="http://schemas.openxmlformats.org/officeDocument/2006/relationships/hyperlink" Target="https://nutritionguide.pcrm.org/nutritionguide/view/Nutrition_Guide_for_Clinicians/1342072/all/Sickle_Cell_Disease" TargetMode="External"/><Relationship Id="rId57" Type="http://schemas.openxmlformats.org/officeDocument/2006/relationships/hyperlink" Target="https://www.researchprotocols.org/2025/1/e76576" TargetMode="External"/><Relationship Id="rId10" Type="http://schemas.openxmlformats.org/officeDocument/2006/relationships/hyperlink" Target="https://pmc.ncbi.nlm.nih.gov/articles/PMC8243211/" TargetMode="External"/><Relationship Id="rId31" Type="http://schemas.openxmlformats.org/officeDocument/2006/relationships/hyperlink" Target="https://www.ijcmph.com/index.php/ijcmph/article/view/13250" TargetMode="External"/><Relationship Id="rId44" Type="http://schemas.openxmlformats.org/officeDocument/2006/relationships/hyperlink" Target="https://vaagdhara.org/wp-content/uploads/2017/08/Nutritive-Analysis-of-Indigenous-Traditional-Food-Items-of-Tribal-Community.pdf" TargetMode="External"/><Relationship Id="rId52" Type="http://schemas.openxmlformats.org/officeDocument/2006/relationships/hyperlink" Target="https://doaj.org/article/9ff0f8cb0faf47d48976fef1edc2d27c" TargetMode="External"/><Relationship Id="rId60" Type="http://schemas.openxmlformats.org/officeDocument/2006/relationships/hyperlink" Target="https://onlinelibrary.wiley.com/doi/10.1111/bjh.19265"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igital.avicennamch.com/updata/services/file_file/389_20190306195630.pdf" TargetMode="External"/><Relationship Id="rId13" Type="http://schemas.openxmlformats.org/officeDocument/2006/relationships/hyperlink" Target="https://pmc.ncbi.nlm.nih.gov/articles/PMC3085005/" TargetMode="External"/><Relationship Id="rId18" Type="http://schemas.openxmlformats.org/officeDocument/2006/relationships/hyperlink" Target="https://thalassaemia.org.cy/wp-content/uploads/2022/10/Fung_NutrThalSystReview_2022.pdf" TargetMode="External"/><Relationship Id="rId39" Type="http://schemas.openxmlformats.org/officeDocument/2006/relationships/hyperlink" Target="https://pmc.ncbi.nlm.nih.gov/articles/PMC7612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8136</Words>
  <Characters>46377</Characters>
  <Application>Microsoft Office Word</Application>
  <DocSecurity>0</DocSecurity>
  <Lines>386</Lines>
  <Paragraphs>108</Paragraphs>
  <ScaleCrop>false</ScaleCrop>
  <Company/>
  <LinksUpToDate>false</LinksUpToDate>
  <CharactersWithSpaces>54405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Balamurugan S</cp:lastModifiedBy>
  <cp:revision>3</cp:revision>
  <dcterms:created xsi:type="dcterms:W3CDTF">2026-05-02T16:28:00Z</dcterms:created>
  <dcterms:modified xsi:type="dcterms:W3CDTF">2026-05-02T16:31:00Z</dcterms:modified>
</cp:coreProperties>
</file>