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PROPUESTA DE PROYECTO DE TESIS</w:t>
      </w:r>
    </w:p>
    <w:p>
      <w:pPr>
        <w:spacing w:after="40"/>
        <w:jc w:val="center"/>
      </w:pPr>
      <w:r>
        <w:rPr>
          <w:b/>
          <w:bCs/>
          <w:color w:val="2E74B5"/>
          <w:sz w:val="26"/>
          <w:szCs w:val="26"/>
        </w:rPr>
        <w:t xml:space="preserve">Portal digital y agentes de IA para organizaciones del Banco de Alimentos</w:t>
      </w:r>
    </w:p>
    <w:p>
      <w:pPr>
        <w:pBdr>
          <w:bottom w:val="single" w:color="BFBFBF" w:sz="6" w:space="8"/>
        </w:pBdr>
        <w:spacing w:after="300"/>
        <w:jc w:val="center"/>
      </w:pPr>
      <w:r>
        <w:rPr>
          <w:i/>
          <w:iCs/>
          <w:color w:val="595959"/>
          <w:sz w:val="19"/>
          <w:szCs w:val="19"/>
        </w:rPr>
        <w:t xml:space="preserve">UNSTA · Seminario de Informática — Equipo: Balardini Tomás, Martina Gonella, Julieta Leiro  ·  Referente institucional: Santiago Helguera (Banco de Alimentos)  ·  8 de septiembre de 2026</w:t>
      </w:r>
    </w:p>
    <w:p>
      <w:pPr>
        <w:pStyle w:val="Heading1"/>
        <w:spacing w:after="160" w:before="360"/>
      </w:pPr>
      <w:r>
        <w:rPr>
          <w:b/>
          <w:bCs/>
          <w:color w:val="1F3864"/>
          <w:sz w:val="28"/>
          <w:szCs w:val="28"/>
        </w:rPr>
        <w:t xml:space="preserve">1. Contexto y antecedentes</w:t>
      </w:r>
    </w:p>
    <w:p>
      <w:pPr>
        <w:spacing w:after="160" w:line="300"/>
      </w:pPr>
      <w:r>
        <w:rPr>
          <w:sz w:val="22"/>
          <w:szCs w:val="22"/>
        </w:rPr>
        <w:t xml:space="preserve">El equipo había presentado originalmente una propuesta enfocada en la logística de distribución entre las sucursales de La Anónima y las organizaciones sociales. Durante la reunión del 8 de septiembre de 2026, Santiago Helguera (referente del Banco de Alimentos) explicó que esa vertical ya está siendo implementada de forma acelerada por el propio Banco a partir del 1 de septiembre, debido a una decisión estratégica de La Anónima que exige tiempos de despliegue incompatibles con el cronograma de una tesis universitaria.</w:t>
      </w:r>
    </w:p>
    <w:p>
      <w:pPr>
        <w:spacing w:after="160" w:line="300"/>
      </w:pPr>
      <w:r>
        <w:rPr>
          <w:sz w:val="22"/>
          <w:szCs w:val="22"/>
        </w:rPr>
        <w:t xml:space="preserve">En consecuencia, se acordó redefinir el enfoque del proyecto hacia una nueva vertical: la relación entre el Banco de Alimentos y las organizaciones sociales (comedores), que no tiene la misma urgencia operativa y ofrece mayor libertad de diseño y desarrollo para fines académicos.</w:t>
      </w:r>
    </w:p>
    <w:p>
      <w:pPr>
        <w:pStyle w:val="Heading1"/>
        <w:spacing w:after="160" w:before="360"/>
      </w:pPr>
      <w:r>
        <w:rPr>
          <w:b/>
          <w:bCs/>
          <w:color w:val="1F3864"/>
          <w:sz w:val="28"/>
          <w:szCs w:val="28"/>
        </w:rPr>
        <w:t xml:space="preserve">2. Decisión adoptada</w:t>
      </w:r>
    </w:p>
    <w:p>
      <w:pPr>
        <w:pStyle w:val="ListParagraph"/>
        <w:numPr>
          <w:ilvl w:val="0"/>
          <w:numId w:val="2"/>
        </w:numPr>
        <w:spacing w:after="90" w:line="280"/>
      </w:pPr>
      <w:r>
        <w:rPr>
          <w:b/>
          <w:bCs/>
          <w:sz w:val="22"/>
          <w:szCs w:val="22"/>
        </w:rPr>
        <w:t xml:space="preserve">Descarte de la logística comercial: </w:t>
      </w:r>
      <w:r>
        <w:rPr>
          <w:sz w:val="22"/>
          <w:szCs w:val="22"/>
        </w:rPr>
        <w:t xml:space="preserve">se deja de lado el desarrollo vinculado a la distribución con La Anónima, por estar ya cubierto por una implementación corporativa en curso.</w:t>
      </w:r>
    </w:p>
    <w:p>
      <w:pPr>
        <w:pStyle w:val="ListParagraph"/>
        <w:numPr>
          <w:ilvl w:val="0"/>
          <w:numId w:val="2"/>
        </w:numPr>
        <w:spacing w:after="90" w:line="280"/>
      </w:pPr>
      <w:r>
        <w:rPr>
          <w:b/>
          <w:bCs/>
          <w:sz w:val="22"/>
          <w:szCs w:val="22"/>
        </w:rPr>
        <w:t xml:space="preserve">Nueva vertical de trabajo: </w:t>
      </w:r>
      <w:r>
        <w:rPr>
          <w:sz w:val="22"/>
          <w:szCs w:val="22"/>
        </w:rPr>
        <w:t xml:space="preserve">el proyecto se enfocará en la vertical de organizaciones sociales (comedores) que colaboran con el Banco de Alimentos, abarcando distribución de pedidos, gestión de familias, información nutricional y capacitación.</w:t>
      </w:r>
    </w:p>
    <w:p>
      <w:pPr>
        <w:pStyle w:val="ListParagraph"/>
        <w:numPr>
          <w:ilvl w:val="0"/>
          <w:numId w:val="2"/>
        </w:numPr>
        <w:spacing w:after="90" w:line="280"/>
      </w:pPr>
      <w:r>
        <w:rPr>
          <w:b/>
          <w:bCs/>
          <w:sz w:val="22"/>
          <w:szCs w:val="22"/>
        </w:rPr>
        <w:t xml:space="preserve">Arquitectura de la solución: </w:t>
      </w:r>
      <w:r>
        <w:rPr>
          <w:sz w:val="22"/>
          <w:szCs w:val="22"/>
        </w:rPr>
        <w:t xml:space="preserve">se desarrollará un portal para comedores y organizaciones que combine una aplicación móvil minimalista y un chatbot de WhatsApp con agentes de IA, como dos interfaces complementarias de un mismo sistema.</w:t>
      </w:r>
    </w:p>
    <w:p>
      <w:pPr>
        <w:pStyle w:val="ListParagraph"/>
        <w:numPr>
          <w:ilvl w:val="0"/>
          <w:numId w:val="2"/>
        </w:numPr>
        <w:spacing w:after="90" w:line="280"/>
      </w:pPr>
      <w:r>
        <w:rPr>
          <w:b/>
          <w:bCs/>
          <w:sz w:val="22"/>
          <w:szCs w:val="22"/>
        </w:rPr>
        <w:t xml:space="preserve">División de responsabilidades técnicas: </w:t>
      </w:r>
      <w:r>
        <w:rPr>
          <w:sz w:val="22"/>
          <w:szCs w:val="22"/>
        </w:rPr>
        <w:t xml:space="preserve">el backend en Laravel ya está desarrollado por el Banco de Alimentos (aprox. 85–90% avanzado); el equipo de tesis se encargará del frontend completo y del desarrollo de los agentes de inteligencia artificial.</w:t>
      </w:r>
    </w:p>
    <w:p>
      <w:pPr>
        <w:pStyle w:val="Heading1"/>
        <w:spacing w:after="160" w:before="360"/>
      </w:pPr>
      <w:r>
        <w:rPr>
          <w:b/>
          <w:bCs/>
          <w:color w:val="1F3864"/>
          <w:sz w:val="28"/>
          <w:szCs w:val="28"/>
        </w:rPr>
        <w:t xml:space="preserve">3. Idea del proyecto</w:t>
      </w:r>
    </w:p>
    <w:p>
      <w:pPr>
        <w:spacing w:after="160" w:line="300"/>
      </w:pPr>
      <w:r>
        <w:rPr>
          <w:sz w:val="22"/>
          <w:szCs w:val="22"/>
        </w:rPr>
        <w:t xml:space="preserve">Crear un portal digital orientado a las organizaciones sociales (comedores) que forman parte de la red del Banco de Alimentos, con dos interfaces de acceso —una aplicación móvil minimalista y un chatbot conversacional por WhatsApp con agentes de IA— que permitan digitalizar y agilizar la interacción entre las organizaciones y el Banco, reduciendo la intervención manual y facilitando el acceso a personas con distinto nivel de alfabetización digital.</w:t>
      </w:r>
    </w:p>
    <w:p>
      <w:pPr>
        <w:pStyle w:val="Heading2"/>
        <w:spacing w:after="120" w:before="260"/>
      </w:pPr>
      <w:r>
        <w:rPr>
          <w:b/>
          <w:bCs/>
          <w:color w:val="2E74B5"/>
          <w:sz w:val="24"/>
          <w:szCs w:val="24"/>
        </w:rPr>
        <w:t xml:space="preserve">3.1 Funcionalidades principales</w:t>
      </w:r>
    </w:p>
    <w:p>
      <w:pPr>
        <w:pStyle w:val="ListParagraph"/>
        <w:numPr>
          <w:ilvl w:val="0"/>
          <w:numId w:val="2"/>
        </w:numPr>
        <w:spacing w:after="90" w:line="280"/>
      </w:pPr>
      <w:r>
        <w:rPr>
          <w:b/>
          <w:bCs/>
          <w:sz w:val="22"/>
          <w:szCs w:val="22"/>
        </w:rPr>
        <w:t xml:space="preserve">Gestión de pedidos: </w:t>
      </w:r>
      <w:r>
        <w:rPr>
          <w:sz w:val="22"/>
          <w:szCs w:val="22"/>
        </w:rPr>
        <w:t xml:space="preserve">las organizaciones podrán solicitar alimentos e insumos (por app o por agente conversacional) indicando cantidades y motivo, y consultar el estado de pedidos anteriores.</w:t>
      </w:r>
    </w:p>
    <w:p>
      <w:pPr>
        <w:pStyle w:val="ListParagraph"/>
        <w:numPr>
          <w:ilvl w:val="0"/>
          <w:numId w:val="2"/>
        </w:numPr>
        <w:spacing w:after="90" w:line="280"/>
      </w:pPr>
      <w:r>
        <w:rPr>
          <w:b/>
          <w:bCs/>
          <w:sz w:val="22"/>
          <w:szCs w:val="22"/>
        </w:rPr>
        <w:t xml:space="preserve">Registro de familias: </w:t>
      </w:r>
      <w:r>
        <w:rPr>
          <w:sz w:val="22"/>
          <w:szCs w:val="22"/>
        </w:rPr>
        <w:t xml:space="preserve">alta y administración de las familias asistidas por cada comedor (composición, edades, necesidades particulares), incluso por audio o texto libre procesado por el agente.</w:t>
      </w:r>
    </w:p>
    <w:p>
      <w:pPr>
        <w:pStyle w:val="ListParagraph"/>
        <w:numPr>
          <w:ilvl w:val="0"/>
          <w:numId w:val="2"/>
        </w:numPr>
        <w:spacing w:after="90" w:line="280"/>
      </w:pPr>
      <w:r>
        <w:rPr>
          <w:b/>
          <w:bCs/>
          <w:sz w:val="22"/>
          <w:szCs w:val="22"/>
        </w:rPr>
        <w:t xml:space="preserve">Panel nutricional: </w:t>
      </w:r>
      <w:r>
        <w:rPr>
          <w:sz w:val="22"/>
          <w:szCs w:val="22"/>
        </w:rPr>
        <w:t xml:space="preserve">visualización de cómo el aporte del Banco de Alimentos cubre las necesidades nutricionales de la organización.</w:t>
      </w:r>
    </w:p>
    <w:p>
      <w:pPr>
        <w:pStyle w:val="ListParagraph"/>
        <w:numPr>
          <w:ilvl w:val="0"/>
          <w:numId w:val="2"/>
        </w:numPr>
        <w:spacing w:after="90" w:line="280"/>
      </w:pPr>
      <w:r>
        <w:rPr>
          <w:b/>
          <w:bCs/>
          <w:sz w:val="22"/>
          <w:szCs w:val="22"/>
        </w:rPr>
        <w:t xml:space="preserve">Módulo de cursos y capacitación: </w:t>
      </w:r>
      <w:r>
        <w:rPr>
          <w:sz w:val="22"/>
          <w:szCs w:val="22"/>
        </w:rPr>
        <w:t xml:space="preserve">acceso a contenidos simples (cocina, oficios, formación básica), inspirado en los programas ya existentes en Tucumán y Patagonia.</w:t>
      </w:r>
    </w:p>
    <w:p>
      <w:pPr>
        <w:pStyle w:val="ListParagraph"/>
        <w:numPr>
          <w:ilvl w:val="0"/>
          <w:numId w:val="2"/>
        </w:numPr>
        <w:spacing w:after="90" w:line="280"/>
      </w:pPr>
      <w:r>
        <w:rPr>
          <w:b/>
          <w:bCs/>
          <w:sz w:val="22"/>
          <w:szCs w:val="22"/>
        </w:rPr>
        <w:t xml:space="preserve">Gestión de stock interno del comedor: </w:t>
      </w:r>
      <w:r>
        <w:rPr>
          <w:sz w:val="22"/>
          <w:szCs w:val="22"/>
        </w:rPr>
        <w:t xml:space="preserve">seguimiento de lo recibido desde el Banco y su distribución posterior a las familias, extendiendo la trazabilidad actual (donante → Banco → organización) hacia el tramo organización → familia.</w:t>
      </w:r>
    </w:p>
    <w:p>
      <w:pPr>
        <w:pStyle w:val="ListParagraph"/>
        <w:numPr>
          <w:ilvl w:val="0"/>
          <w:numId w:val="2"/>
        </w:numPr>
        <w:spacing w:after="90" w:line="280"/>
      </w:pPr>
      <w:r>
        <w:rPr>
          <w:b/>
          <w:bCs/>
          <w:sz w:val="22"/>
          <w:szCs w:val="22"/>
        </w:rPr>
        <w:t xml:space="preserve">Muro / feed de necesidades: </w:t>
      </w:r>
      <w:r>
        <w:rPr>
          <w:sz w:val="22"/>
          <w:szCs w:val="22"/>
        </w:rPr>
        <w:t xml:space="preserve">espacio tipo red social donde cada organización puede publicar necesidades puntuales (por ejemplo, reparaciones de infraestructura), visibles para el Banco de Alimentos.</w:t>
      </w:r>
    </w:p>
    <w:p>
      <w:pPr>
        <w:pStyle w:val="Heading2"/>
        <w:spacing w:after="120" w:before="260"/>
      </w:pPr>
      <w:r>
        <w:rPr>
          <w:b/>
          <w:bCs/>
          <w:color w:val="2E74B5"/>
          <w:sz w:val="24"/>
          <w:szCs w:val="24"/>
        </w:rPr>
        <w:t xml:space="preserve">3.2 Interfaces de acceso</w:t>
      </w:r>
    </w:p>
    <w:p>
      <w:pPr>
        <w:pStyle w:val="ListParagraph"/>
        <w:numPr>
          <w:ilvl w:val="0"/>
          <w:numId w:val="2"/>
        </w:numPr>
        <w:spacing w:after="90" w:line="280"/>
      </w:pPr>
      <w:r>
        <w:rPr>
          <w:b/>
          <w:bCs/>
          <w:sz w:val="22"/>
          <w:szCs w:val="22"/>
        </w:rPr>
        <w:t xml:space="preserve">Aplicación móvil minimalista: </w:t>
      </w:r>
      <w:r>
        <w:rPr>
          <w:sz w:val="22"/>
          <w:szCs w:val="22"/>
        </w:rPr>
        <w:t xml:space="preserve">interfaz visual simple para organizaciones con acceso a smartphone y preferencia por uso de app.</w:t>
      </w:r>
    </w:p>
    <w:p>
      <w:pPr>
        <w:pStyle w:val="ListParagraph"/>
        <w:numPr>
          <w:ilvl w:val="0"/>
          <w:numId w:val="2"/>
        </w:numPr>
        <w:spacing w:after="90" w:line="280"/>
      </w:pPr>
      <w:r>
        <w:rPr>
          <w:b/>
          <w:bCs/>
          <w:sz w:val="22"/>
          <w:szCs w:val="22"/>
        </w:rPr>
        <w:t xml:space="preserve">Chatbot de WhatsApp con agentes de IA: </w:t>
      </w:r>
      <w:r>
        <w:rPr>
          <w:sz w:val="22"/>
          <w:szCs w:val="22"/>
        </w:rPr>
        <w:t xml:space="preserve">canal conversacional (texto o audio) para organizaciones que prefieren o solo tienen acceso a WhatsApp, reduciendo la barrera de uso.</w:t>
      </w:r>
    </w:p>
    <w:p>
      <w:pPr>
        <w:pStyle w:val="Heading1"/>
        <w:spacing w:after="160" w:before="360"/>
      </w:pPr>
      <w:r>
        <w:rPr>
          <w:b/>
          <w:bCs/>
          <w:color w:val="1F3864"/>
          <w:sz w:val="28"/>
          <w:szCs w:val="28"/>
        </w:rPr>
        <w:t xml:space="preserve">4. Herramientas y arquitectura técnica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40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Componente</w:t>
            </w:r>
          </w:p>
        </w:tc>
        <w:tc>
          <w:tcPr>
            <w:tcW w:type="dxa" w:w="4200"/>
            <w:shd w:fill="1F3864" w:val="clear"/>
            <w:tcMar>
              <w:top w:type="dxa" w:w="100"/>
              <w:left w:type="dxa" w:w="120"/>
              <w:bottom w:type="dxa" w:w="100"/>
              <w:right w:type="dxa" w:w="120"/>
            </w:tcMar>
          </w:tcPr>
          <w:p>
            <w:r>
              <w:rPr>
                <w:b/>
                <w:bCs/>
                <w:color w:val="FFFFFF"/>
                <w:sz w:val="20"/>
                <w:szCs w:val="20"/>
              </w:rPr>
              <w:t xml:space="preserve">Herramienta / tecnología</w:t>
            </w:r>
          </w:p>
        </w:tc>
        <w:tc>
          <w:tcPr>
            <w:tcW w:type="dxa" w:w="2400"/>
            <w:shd w:fill="1F3864" w:val="clear"/>
            <w:tcMar>
              <w:top w:type="dxa" w:w="100"/>
              <w:left w:type="dxa" w:w="120"/>
              <w:bottom w:type="dxa" w:w="100"/>
              <w:right w:type="dxa" w:w="120"/>
            </w:tcMar>
          </w:tcPr>
          <w:p>
            <w:r>
              <w:rPr>
                <w:b/>
                <w:bCs/>
                <w:color w:val="FFFFFF"/>
                <w:sz w:val="20"/>
                <w:szCs w:val="20"/>
              </w:rPr>
              <w:t xml:space="preserve">Responsable</w:t>
            </w:r>
          </w:p>
        </w:tc>
      </w:tr>
      <w:tr>
        <w:tc>
          <w:tcPr>
            <w:tcW w:type="dxa" w:w="2600"/>
            <w:tcMar>
              <w:top w:type="dxa" w:w="100"/>
              <w:left w:type="dxa" w:w="120"/>
              <w:bottom w:type="dxa" w:w="100"/>
              <w:right w:type="dxa" w:w="120"/>
            </w:tcMar>
          </w:tcPr>
          <w:p>
            <w:r>
              <w:rPr>
                <w:b w:val="false"/>
                <w:bCs w:val="false"/>
                <w:color w:val="000000"/>
                <w:sz w:val="20"/>
                <w:szCs w:val="20"/>
              </w:rPr>
              <w:t xml:space="preserve">Backend</w:t>
            </w:r>
          </w:p>
        </w:tc>
        <w:tc>
          <w:tcPr>
            <w:tcW w:type="dxa" w:w="4200"/>
            <w:tcMar>
              <w:top w:type="dxa" w:w="100"/>
              <w:left w:type="dxa" w:w="120"/>
              <w:bottom w:type="dxa" w:w="100"/>
              <w:right w:type="dxa" w:w="120"/>
            </w:tcMar>
          </w:tcPr>
          <w:p>
            <w:r>
              <w:rPr>
                <w:b w:val="false"/>
                <w:bCs w:val="false"/>
                <w:color w:val="000000"/>
                <w:sz w:val="20"/>
                <w:szCs w:val="20"/>
              </w:rPr>
              <w:t xml:space="preserve">Laravel (ya desarrollado, ~85–90%)</w:t>
            </w:r>
          </w:p>
        </w:tc>
        <w:tc>
          <w:tcPr>
            <w:tcW w:type="dxa" w:w="2400"/>
            <w:tcMar>
              <w:top w:type="dxa" w:w="100"/>
              <w:left w:type="dxa" w:w="120"/>
              <w:bottom w:type="dxa" w:w="100"/>
              <w:right w:type="dxa" w:w="120"/>
            </w:tcMar>
          </w:tcPr>
          <w:p>
            <w:r>
              <w:rPr>
                <w:b w:val="false"/>
                <w:bCs w:val="false"/>
                <w:color w:val="000000"/>
                <w:sz w:val="20"/>
                <w:szCs w:val="20"/>
              </w:rPr>
              <w:t xml:space="preserve">Banco de Alimentos</w:t>
            </w:r>
          </w:p>
        </w:tc>
      </w:tr>
      <w:tr>
        <w:tc>
          <w:tcPr>
            <w:tcW w:type="dxa" w:w="2600"/>
            <w:tcMar>
              <w:top w:type="dxa" w:w="100"/>
              <w:left w:type="dxa" w:w="120"/>
              <w:bottom w:type="dxa" w:w="100"/>
              <w:right w:type="dxa" w:w="120"/>
            </w:tcMar>
          </w:tcPr>
          <w:p>
            <w:r>
              <w:rPr>
                <w:b w:val="false"/>
                <w:bCs w:val="false"/>
                <w:color w:val="000000"/>
                <w:sz w:val="20"/>
                <w:szCs w:val="20"/>
              </w:rPr>
              <w:t xml:space="preserve">Frontend / app móvil</w:t>
            </w:r>
          </w:p>
        </w:tc>
        <w:tc>
          <w:tcPr>
            <w:tcW w:type="dxa" w:w="4200"/>
            <w:tcMar>
              <w:top w:type="dxa" w:w="100"/>
              <w:left w:type="dxa" w:w="120"/>
              <w:bottom w:type="dxa" w:w="100"/>
              <w:right w:type="dxa" w:w="120"/>
            </w:tcMar>
          </w:tcPr>
          <w:p>
            <w:r>
              <w:rPr>
                <w:b w:val="false"/>
                <w:bCs w:val="false"/>
                <w:color w:val="000000"/>
                <w:sz w:val="20"/>
                <w:szCs w:val="20"/>
              </w:rPr>
              <w:t xml:space="preserve">A definir por el equipo (desarrollo desde cero)</w:t>
            </w:r>
          </w:p>
        </w:tc>
        <w:tc>
          <w:tcPr>
            <w:tcW w:type="dxa" w:w="2400"/>
            <w:tcMar>
              <w:top w:type="dxa" w:w="100"/>
              <w:left w:type="dxa" w:w="120"/>
              <w:bottom w:type="dxa" w:w="100"/>
              <w:right w:type="dxa" w:w="120"/>
            </w:tcMar>
          </w:tcPr>
          <w:p>
            <w:r>
              <w:rPr>
                <w:b w:val="false"/>
                <w:bCs w:val="false"/>
                <w:color w:val="000000"/>
                <w:sz w:val="20"/>
                <w:szCs w:val="20"/>
              </w:rPr>
              <w:t xml:space="preserve">Equipo de tesis</w:t>
            </w:r>
          </w:p>
        </w:tc>
      </w:tr>
      <w:tr>
        <w:tc>
          <w:tcPr>
            <w:tcW w:type="dxa" w:w="2600"/>
            <w:tcMar>
              <w:top w:type="dxa" w:w="100"/>
              <w:left w:type="dxa" w:w="120"/>
              <w:bottom w:type="dxa" w:w="100"/>
              <w:right w:type="dxa" w:w="120"/>
            </w:tcMar>
          </w:tcPr>
          <w:p>
            <w:r>
              <w:rPr>
                <w:b w:val="false"/>
                <w:bCs w:val="false"/>
                <w:color w:val="000000"/>
                <w:sz w:val="20"/>
                <w:szCs w:val="20"/>
              </w:rPr>
              <w:t xml:space="preserve">Agentes conversacionales</w:t>
            </w:r>
          </w:p>
        </w:tc>
        <w:tc>
          <w:tcPr>
            <w:tcW w:type="dxa" w:w="4200"/>
            <w:tcMar>
              <w:top w:type="dxa" w:w="100"/>
              <w:left w:type="dxa" w:w="120"/>
              <w:bottom w:type="dxa" w:w="100"/>
              <w:right w:type="dxa" w:w="120"/>
            </w:tcMar>
          </w:tcPr>
          <w:p>
            <w:r>
              <w:rPr>
                <w:b w:val="false"/>
                <w:bCs w:val="false"/>
                <w:color w:val="000000"/>
                <w:sz w:val="20"/>
                <w:szCs w:val="20"/>
              </w:rPr>
              <w:t xml:space="preserve">Plataforma Godubi (o alternativa como n8n, a evaluar)</w:t>
            </w:r>
          </w:p>
        </w:tc>
        <w:tc>
          <w:tcPr>
            <w:tcW w:type="dxa" w:w="2400"/>
            <w:tcMar>
              <w:top w:type="dxa" w:w="100"/>
              <w:left w:type="dxa" w:w="120"/>
              <w:bottom w:type="dxa" w:w="100"/>
              <w:right w:type="dxa" w:w="120"/>
            </w:tcMar>
          </w:tcPr>
          <w:p>
            <w:r>
              <w:rPr>
                <w:b w:val="false"/>
                <w:bCs w:val="false"/>
                <w:color w:val="000000"/>
                <w:sz w:val="20"/>
                <w:szCs w:val="20"/>
              </w:rPr>
              <w:t xml:space="preserve">Equipo de tesis</w:t>
            </w:r>
          </w:p>
        </w:tc>
      </w:tr>
      <w:tr>
        <w:tc>
          <w:tcPr>
            <w:tcW w:type="dxa" w:w="2600"/>
            <w:tcMar>
              <w:top w:type="dxa" w:w="100"/>
              <w:left w:type="dxa" w:w="120"/>
              <w:bottom w:type="dxa" w:w="100"/>
              <w:right w:type="dxa" w:w="120"/>
            </w:tcMar>
          </w:tcPr>
          <w:p>
            <w:r>
              <w:rPr>
                <w:b w:val="false"/>
                <w:bCs w:val="false"/>
                <w:color w:val="000000"/>
                <w:sz w:val="20"/>
                <w:szCs w:val="20"/>
              </w:rPr>
              <w:t xml:space="preserve">Modelo de lenguaje</w:t>
            </w:r>
          </w:p>
        </w:tc>
        <w:tc>
          <w:tcPr>
            <w:tcW w:type="dxa" w:w="4200"/>
            <w:tcMar>
              <w:top w:type="dxa" w:w="100"/>
              <w:left w:type="dxa" w:w="120"/>
              <w:bottom w:type="dxa" w:w="100"/>
              <w:right w:type="dxa" w:w="120"/>
            </w:tcMar>
          </w:tcPr>
          <w:p>
            <w:r>
              <w:rPr>
                <w:b w:val="false"/>
                <w:bCs w:val="false"/>
                <w:color w:val="000000"/>
                <w:sz w:val="20"/>
                <w:szCs w:val="20"/>
              </w:rPr>
              <w:t xml:space="preserve">API de OpenAI (modelo económico, ej. GPT de bajo costo) / alternativa DeepSeek</w:t>
            </w:r>
          </w:p>
        </w:tc>
        <w:tc>
          <w:tcPr>
            <w:tcW w:type="dxa" w:w="2400"/>
            <w:tcMar>
              <w:top w:type="dxa" w:w="100"/>
              <w:left w:type="dxa" w:w="120"/>
              <w:bottom w:type="dxa" w:w="100"/>
              <w:right w:type="dxa" w:w="120"/>
            </w:tcMar>
          </w:tcPr>
          <w:p>
            <w:r>
              <w:rPr>
                <w:b w:val="false"/>
                <w:bCs w:val="false"/>
                <w:color w:val="000000"/>
                <w:sz w:val="20"/>
                <w:szCs w:val="20"/>
              </w:rPr>
              <w:t xml:space="preserve">Equipo de tesis (con soporte de API key del Banco)</w:t>
            </w:r>
          </w:p>
        </w:tc>
      </w:tr>
      <w:tr>
        <w:tc>
          <w:tcPr>
            <w:tcW w:type="dxa" w:w="2600"/>
            <w:tcMar>
              <w:top w:type="dxa" w:w="100"/>
              <w:left w:type="dxa" w:w="120"/>
              <w:bottom w:type="dxa" w:w="100"/>
              <w:right w:type="dxa" w:w="120"/>
            </w:tcMar>
          </w:tcPr>
          <w:p>
            <w:r>
              <w:rPr>
                <w:b w:val="false"/>
                <w:bCs w:val="false"/>
                <w:color w:val="000000"/>
                <w:sz w:val="20"/>
                <w:szCs w:val="20"/>
              </w:rPr>
              <w:t xml:space="preserve">Canal conversacional</w:t>
            </w:r>
          </w:p>
        </w:tc>
        <w:tc>
          <w:tcPr>
            <w:tcW w:type="dxa" w:w="4200"/>
            <w:tcMar>
              <w:top w:type="dxa" w:w="100"/>
              <w:left w:type="dxa" w:w="120"/>
              <w:bottom w:type="dxa" w:w="100"/>
              <w:right w:type="dxa" w:w="120"/>
            </w:tcMar>
          </w:tcPr>
          <w:p>
            <w:r>
              <w:rPr>
                <w:b w:val="false"/>
                <w:bCs w:val="false"/>
                <w:color w:val="000000"/>
                <w:sz w:val="20"/>
                <w:szCs w:val="20"/>
              </w:rPr>
              <w:t xml:space="preserve">WhatsApp Business API</w:t>
            </w:r>
          </w:p>
        </w:tc>
        <w:tc>
          <w:tcPr>
            <w:tcW w:type="dxa" w:w="2400"/>
            <w:tcMar>
              <w:top w:type="dxa" w:w="100"/>
              <w:left w:type="dxa" w:w="120"/>
              <w:bottom w:type="dxa" w:w="100"/>
              <w:right w:type="dxa" w:w="120"/>
            </w:tcMar>
          </w:tcPr>
          <w:p>
            <w:r>
              <w:rPr>
                <w:b w:val="false"/>
                <w:bCs w:val="false"/>
                <w:color w:val="000000"/>
                <w:sz w:val="20"/>
                <w:szCs w:val="20"/>
              </w:rPr>
              <w:t xml:space="preserve">Integración conjunta</w:t>
            </w:r>
          </w:p>
        </w:tc>
      </w:tr>
      <w:tr>
        <w:tc>
          <w:tcPr>
            <w:tcW w:type="dxa" w:w="2600"/>
            <w:tcMar>
              <w:top w:type="dxa" w:w="100"/>
              <w:left w:type="dxa" w:w="120"/>
              <w:bottom w:type="dxa" w:w="100"/>
              <w:right w:type="dxa" w:w="120"/>
            </w:tcMar>
          </w:tcPr>
          <w:p>
            <w:r>
              <w:rPr>
                <w:b w:val="false"/>
                <w:bCs w:val="false"/>
                <w:color w:val="000000"/>
                <w:sz w:val="20"/>
                <w:szCs w:val="20"/>
              </w:rPr>
              <w:t xml:space="preserve">Referencia de sistema existente</w:t>
            </w:r>
          </w:p>
        </w:tc>
        <w:tc>
          <w:tcPr>
            <w:tcW w:type="dxa" w:w="4200"/>
            <w:tcMar>
              <w:top w:type="dxa" w:w="100"/>
              <w:left w:type="dxa" w:w="120"/>
              <w:bottom w:type="dxa" w:w="100"/>
              <w:right w:type="dxa" w:w="120"/>
            </w:tcMar>
          </w:tcPr>
          <w:p>
            <w:r>
              <w:rPr>
                <w:b w:val="false"/>
                <w:bCs w:val="false"/>
                <w:color w:val="000000"/>
                <w:sz w:val="20"/>
                <w:szCs w:val="20"/>
              </w:rPr>
              <w:t xml:space="preserve">Mermaab (gestión de mermas vía WhatsApp) y BAT / ERP del Banco de Alimentos</w:t>
            </w:r>
          </w:p>
        </w:tc>
        <w:tc>
          <w:tcPr>
            <w:tcW w:type="dxa" w:w="2400"/>
            <w:tcMar>
              <w:top w:type="dxa" w:w="100"/>
              <w:left w:type="dxa" w:w="120"/>
              <w:bottom w:type="dxa" w:w="100"/>
              <w:right w:type="dxa" w:w="120"/>
            </w:tcMar>
          </w:tcPr>
          <w:p>
            <w:r>
              <w:rPr>
                <w:b w:val="false"/>
                <w:bCs w:val="false"/>
                <w:color w:val="000000"/>
                <w:sz w:val="20"/>
                <w:szCs w:val="20"/>
              </w:rPr>
              <w:t xml:space="preserve">Banco de Alimentos</w:t>
            </w:r>
          </w:p>
        </w:tc>
      </w:tr>
    </w:tbl>
    <w:p>
      <w:pPr>
        <w:spacing w:after="200"/>
      </w:pPr>
    </w:p>
    <w:p>
      <w:pPr>
        <w:spacing w:after="160" w:line="300"/>
      </w:pPr>
      <w:r>
        <w:rPr>
          <w:sz w:val="22"/>
          <w:szCs w:val="22"/>
        </w:rPr>
        <w:t xml:space="preserve">Costos de referencia: según lo indicado por Santiago Helguera, el procesamiento de cada interacción de agente (caso mermas) tiene un costo aproximado de entre 3 y 5 centavos de dólar mediante API, por lo que se considera un modelo de costos operativos bajo. El Banco de Alimentos facilitará una API key para el desarrollo y prueba de los agentes.</w:t>
      </w:r>
    </w:p>
    <w:p>
      <w:pPr>
        <w:pStyle w:val="Heading1"/>
        <w:spacing w:after="160" w:before="360"/>
      </w:pPr>
      <w:r>
        <w:rPr>
          <w:b/>
          <w:bCs/>
          <w:color w:val="1F3864"/>
          <w:sz w:val="28"/>
          <w:szCs w:val="28"/>
        </w:rPr>
        <w:t xml:space="preserve">5. Alcance y requisitos académicos</w:t>
      </w:r>
    </w:p>
    <w:p>
      <w:pPr>
        <w:pStyle w:val="ListParagraph"/>
        <w:numPr>
          <w:ilvl w:val="0"/>
          <w:numId w:val="2"/>
        </w:numPr>
        <w:spacing w:after="90" w:line="280"/>
      </w:pPr>
      <w:r>
        <w:rPr>
          <w:sz w:val="22"/>
          <w:szCs w:val="22"/>
        </w:rPr>
        <w:t xml:space="preserve">El requisito de la tesis no exige profundizar en tecnicismos de programación para la exposición final, sino una demostración funcional del sistema desarrollado, acompañada de documentación del proceso.</w:t>
      </w:r>
    </w:p>
    <w:p>
      <w:pPr>
        <w:pStyle w:val="ListParagraph"/>
        <w:numPr>
          <w:ilvl w:val="0"/>
          <w:numId w:val="2"/>
        </w:numPr>
        <w:spacing w:after="90" w:line="280"/>
      </w:pPr>
      <w:r>
        <w:rPr>
          <w:sz w:val="22"/>
          <w:szCs w:val="22"/>
        </w:rPr>
        <w:t xml:space="preserve">Se evaluará complementar la demostración con un video explicativo del funcionamiento del portal y los agentes, generado con apoyo de inteligencia artificial.</w:t>
      </w:r>
    </w:p>
    <w:p>
      <w:pPr>
        <w:pStyle w:val="ListParagraph"/>
        <w:numPr>
          <w:ilvl w:val="0"/>
          <w:numId w:val="2"/>
        </w:numPr>
        <w:spacing w:after="90" w:line="280"/>
      </w:pPr>
      <w:r>
        <w:rPr>
          <w:sz w:val="22"/>
          <w:szCs w:val="22"/>
        </w:rPr>
        <w:t xml:space="preserve">El equipo es responsable de identificar los procesos a automatizar y de construir los agentes de IA (no solo de usar la plataforma), lo cual constituye el aporte técnico central de la tesis.</w:t>
      </w:r>
    </w:p>
    <w:p>
      <w:pPr>
        <w:pStyle w:val="Heading1"/>
        <w:spacing w:after="160" w:before="360"/>
      </w:pPr>
      <w:r>
        <w:rPr>
          <w:b/>
          <w:bCs/>
          <w:color w:val="1F3864"/>
          <w:sz w:val="28"/>
          <w:szCs w:val="28"/>
        </w:rPr>
        <w:t xml:space="preserve">6. Cronograma y próximos pasos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60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Fecha / plazo</w:t>
            </w:r>
          </w:p>
        </w:tc>
        <w:tc>
          <w:tcPr>
            <w:tcW w:type="dxa" w:w="5000"/>
            <w:shd w:fill="1F3864" w:val="clear"/>
            <w:tcMar>
              <w:top w:type="dxa" w:w="100"/>
              <w:left w:type="dxa" w:w="120"/>
              <w:bottom w:type="dxa" w:w="100"/>
              <w:right w:type="dxa" w:w="120"/>
            </w:tcMar>
          </w:tcPr>
          <w:p>
            <w:r>
              <w:rPr>
                <w:b/>
                <w:bCs/>
                <w:color w:val="FFFFFF"/>
                <w:sz w:val="20"/>
                <w:szCs w:val="20"/>
              </w:rPr>
              <w:t xml:space="preserve">Acción</w:t>
            </w:r>
          </w:p>
        </w:tc>
        <w:tc>
          <w:tcPr>
            <w:tcW w:type="dxa" w:w="1600"/>
            <w:shd w:fill="1F3864" w:val="clear"/>
            <w:tcMar>
              <w:top w:type="dxa" w:w="100"/>
              <w:left w:type="dxa" w:w="120"/>
              <w:bottom w:type="dxa" w:w="100"/>
              <w:right w:type="dxa" w:w="120"/>
            </w:tcMar>
          </w:tcPr>
          <w:p>
            <w:r>
              <w:rPr>
                <w:b/>
                <w:bCs/>
                <w:color w:val="FFFFFF"/>
                <w:sz w:val="20"/>
                <w:szCs w:val="20"/>
              </w:rPr>
              <w:t xml:space="preserve">Responsable</w:t>
            </w:r>
          </w:p>
        </w:tc>
      </w:tr>
      <w:tr>
        <w:tc>
          <w:tcPr>
            <w:tcW w:type="dxa" w:w="2600"/>
            <w:tcMar>
              <w:top w:type="dxa" w:w="100"/>
              <w:left w:type="dxa" w:w="120"/>
              <w:bottom w:type="dxa" w:w="100"/>
              <w:right w:type="dxa" w:w="120"/>
            </w:tcMar>
          </w:tcPr>
          <w:p>
            <w:r>
              <w:rPr>
                <w:b w:val="false"/>
                <w:bCs w:val="false"/>
                <w:color w:val="000000"/>
                <w:sz w:val="20"/>
                <w:szCs w:val="20"/>
              </w:rPr>
              <w:t xml:space="preserve">9 de septiembre</w:t>
            </w:r>
          </w:p>
        </w:tc>
        <w:tc>
          <w:tcPr>
            <w:tcW w:type="dxa" w:w="5000"/>
            <w:tcMar>
              <w:top w:type="dxa" w:w="100"/>
              <w:left w:type="dxa" w:w="120"/>
              <w:bottom w:type="dxa" w:w="100"/>
              <w:right w:type="dxa" w:w="120"/>
            </w:tcMar>
          </w:tcPr>
          <w:p>
            <w:r>
              <w:rPr>
                <w:b w:val="false"/>
                <w:bCs w:val="false"/>
                <w:color w:val="000000"/>
                <w:sz w:val="20"/>
                <w:szCs w:val="20"/>
              </w:rPr>
              <w:t xml:space="preserve">Presentar la idea definida al profesor de la cátedra para su aprobación</w:t>
            </w:r>
          </w:p>
        </w:tc>
        <w:tc>
          <w:tcPr>
            <w:tcW w:type="dxa" w:w="1600"/>
            <w:tcMar>
              <w:top w:type="dxa" w:w="100"/>
              <w:left w:type="dxa" w:w="120"/>
              <w:bottom w:type="dxa" w:w="100"/>
              <w:right w:type="dxa" w:w="120"/>
            </w:tcMar>
          </w:tcPr>
          <w:p>
            <w:r>
              <w:rPr>
                <w:b w:val="false"/>
                <w:bCs w:val="false"/>
                <w:color w:val="000000"/>
                <w:sz w:val="20"/>
                <w:szCs w:val="20"/>
              </w:rPr>
              <w:t xml:space="preserve">Equipo (Tomás, Martina, Julieta)</w:t>
            </w:r>
          </w:p>
        </w:tc>
      </w:tr>
      <w:tr>
        <w:tc>
          <w:tcPr>
            <w:tcW w:type="dxa" w:w="2600"/>
            <w:tcMar>
              <w:top w:type="dxa" w:w="100"/>
              <w:left w:type="dxa" w:w="120"/>
              <w:bottom w:type="dxa" w:w="100"/>
              <w:right w:type="dxa" w:w="120"/>
            </w:tcMar>
          </w:tcPr>
          <w:p>
            <w:r>
              <w:rPr>
                <w:b w:val="false"/>
                <w:bCs w:val="false"/>
                <w:color w:val="000000"/>
                <w:sz w:val="20"/>
                <w:szCs w:val="20"/>
              </w:rPr>
              <w:t xml:space="preserve">A la brevedad</w:t>
            </w:r>
          </w:p>
        </w:tc>
        <w:tc>
          <w:tcPr>
            <w:tcW w:type="dxa" w:w="5000"/>
            <w:tcMar>
              <w:top w:type="dxa" w:w="100"/>
              <w:left w:type="dxa" w:w="120"/>
              <w:bottom w:type="dxa" w:w="100"/>
              <w:right w:type="dxa" w:w="120"/>
            </w:tcMar>
          </w:tcPr>
          <w:p>
            <w:r>
              <w:rPr>
                <w:b w:val="false"/>
                <w:bCs w:val="false"/>
                <w:color w:val="000000"/>
                <w:sz w:val="20"/>
                <w:szCs w:val="20"/>
              </w:rPr>
              <w:t xml:space="preserve">Enviar la transcripción/notas de la reunión para revisión interna</w:t>
            </w:r>
          </w:p>
        </w:tc>
        <w:tc>
          <w:tcPr>
            <w:tcW w:type="dxa" w:w="1600"/>
            <w:tcMar>
              <w:top w:type="dxa" w:w="100"/>
              <w:left w:type="dxa" w:w="120"/>
              <w:bottom w:type="dxa" w:w="100"/>
              <w:right w:type="dxa" w:w="120"/>
            </w:tcMar>
          </w:tcPr>
          <w:p>
            <w:r>
              <w:rPr>
                <w:b w:val="false"/>
                <w:bCs w:val="false"/>
                <w:color w:val="000000"/>
                <w:sz w:val="20"/>
                <w:szCs w:val="20"/>
              </w:rPr>
              <w:t xml:space="preserve">Balardini Tomás → Santiago Helguera</w:t>
            </w:r>
          </w:p>
        </w:tc>
      </w:tr>
      <w:tr>
        <w:tc>
          <w:tcPr>
            <w:tcW w:type="dxa" w:w="2600"/>
            <w:tcMar>
              <w:top w:type="dxa" w:w="100"/>
              <w:left w:type="dxa" w:w="120"/>
              <w:bottom w:type="dxa" w:w="100"/>
              <w:right w:type="dxa" w:w="120"/>
            </w:tcMar>
          </w:tcPr>
          <w:p>
            <w:r>
              <w:rPr>
                <w:b w:val="false"/>
                <w:bCs w:val="false"/>
                <w:color w:val="000000"/>
                <w:sz w:val="20"/>
                <w:szCs w:val="20"/>
              </w:rPr>
              <w:t xml:space="preserve">Antes del viernes</w:t>
            </w:r>
          </w:p>
        </w:tc>
        <w:tc>
          <w:tcPr>
            <w:tcW w:type="dxa" w:w="5000"/>
            <w:tcMar>
              <w:top w:type="dxa" w:w="100"/>
              <w:left w:type="dxa" w:w="120"/>
              <w:bottom w:type="dxa" w:w="100"/>
              <w:right w:type="dxa" w:w="120"/>
            </w:tcMar>
          </w:tcPr>
          <w:p>
            <w:r>
              <w:rPr>
                <w:b w:val="false"/>
                <w:bCs w:val="false"/>
                <w:color w:val="000000"/>
                <w:sz w:val="20"/>
                <w:szCs w:val="20"/>
              </w:rPr>
              <w:t xml:space="preserve">Validar el enfoque del proyecto con el equipo del Banco de Alimentos</w:t>
            </w:r>
          </w:p>
        </w:tc>
        <w:tc>
          <w:tcPr>
            <w:tcW w:type="dxa" w:w="1600"/>
            <w:tcMar>
              <w:top w:type="dxa" w:w="100"/>
              <w:left w:type="dxa" w:w="120"/>
              <w:bottom w:type="dxa" w:w="100"/>
              <w:right w:type="dxa" w:w="120"/>
            </w:tcMar>
          </w:tcPr>
          <w:p>
            <w:r>
              <w:rPr>
                <w:b w:val="false"/>
                <w:bCs w:val="false"/>
                <w:color w:val="000000"/>
                <w:sz w:val="20"/>
                <w:szCs w:val="20"/>
              </w:rPr>
              <w:t xml:space="preserve">Santiago Helguera</w:t>
            </w:r>
          </w:p>
        </w:tc>
      </w:tr>
      <w:tr>
        <w:tc>
          <w:tcPr>
            <w:tcW w:type="dxa" w:w="2600"/>
            <w:tcMar>
              <w:top w:type="dxa" w:w="100"/>
              <w:left w:type="dxa" w:w="120"/>
              <w:bottom w:type="dxa" w:w="100"/>
              <w:right w:type="dxa" w:w="120"/>
            </w:tcMar>
          </w:tcPr>
          <w:p>
            <w:r>
              <w:rPr>
                <w:b w:val="false"/>
                <w:bCs w:val="false"/>
                <w:color w:val="000000"/>
                <w:sz w:val="20"/>
                <w:szCs w:val="20"/>
              </w:rPr>
              <w:t xml:space="preserve">Viernes 11 de septiembre</w:t>
            </w:r>
          </w:p>
        </w:tc>
        <w:tc>
          <w:tcPr>
            <w:tcW w:type="dxa" w:w="5000"/>
            <w:tcMar>
              <w:top w:type="dxa" w:w="100"/>
              <w:left w:type="dxa" w:w="120"/>
              <w:bottom w:type="dxa" w:w="100"/>
              <w:right w:type="dxa" w:w="120"/>
            </w:tcMar>
          </w:tcPr>
          <w:p>
            <w:r>
              <w:rPr>
                <w:b w:val="false"/>
                <w:bCs w:val="false"/>
                <w:color w:val="000000"/>
                <w:sz w:val="20"/>
                <w:szCs w:val="20"/>
              </w:rPr>
              <w:t xml:space="preserve">Reunión de seguimiento para continuar la planificación</w:t>
            </w:r>
          </w:p>
        </w:tc>
        <w:tc>
          <w:tcPr>
            <w:tcW w:type="dxa" w:w="1600"/>
            <w:tcMar>
              <w:top w:type="dxa" w:w="100"/>
              <w:left w:type="dxa" w:w="120"/>
              <w:bottom w:type="dxa" w:w="100"/>
              <w:right w:type="dxa" w:w="120"/>
            </w:tcMar>
          </w:tcPr>
          <w:p>
            <w:r>
              <w:rPr>
                <w:b w:val="false"/>
                <w:bCs w:val="false"/>
                <w:color w:val="000000"/>
                <w:sz w:val="20"/>
                <w:szCs w:val="20"/>
              </w:rPr>
              <w:t xml:space="preserve">Equipo + Santiago Helguera</w:t>
            </w:r>
          </w:p>
        </w:tc>
      </w:tr>
      <w:tr>
        <w:tc>
          <w:tcPr>
            <w:tcW w:type="dxa" w:w="2600"/>
            <w:tcMar>
              <w:top w:type="dxa" w:w="100"/>
              <w:left w:type="dxa" w:w="120"/>
              <w:bottom w:type="dxa" w:w="100"/>
              <w:right w:type="dxa" w:w="120"/>
            </w:tcMar>
          </w:tcPr>
          <w:p>
            <w:r>
              <w:rPr>
                <w:b w:val="false"/>
                <w:bCs w:val="false"/>
                <w:color w:val="000000"/>
                <w:sz w:val="20"/>
                <w:szCs w:val="20"/>
              </w:rPr>
              <w:t xml:space="preserve">A definir</w:t>
            </w:r>
          </w:p>
        </w:tc>
        <w:tc>
          <w:tcPr>
            <w:tcW w:type="dxa" w:w="5000"/>
            <w:tcMar>
              <w:top w:type="dxa" w:w="100"/>
              <w:left w:type="dxa" w:w="120"/>
              <w:bottom w:type="dxa" w:w="100"/>
              <w:right w:type="dxa" w:w="120"/>
            </w:tcMar>
          </w:tcPr>
          <w:p>
            <w:r>
              <w:rPr>
                <w:b w:val="false"/>
                <w:bCs w:val="false"/>
                <w:color w:val="000000"/>
                <w:sz w:val="20"/>
                <w:szCs w:val="20"/>
              </w:rPr>
              <w:t xml:space="preserve">Reunión con el área social del Banco (Fernández y Adrián) para validar requerimientos de comedores</w:t>
            </w:r>
          </w:p>
        </w:tc>
        <w:tc>
          <w:tcPr>
            <w:tcW w:type="dxa" w:w="1600"/>
            <w:tcMar>
              <w:top w:type="dxa" w:w="100"/>
              <w:left w:type="dxa" w:w="120"/>
              <w:bottom w:type="dxa" w:w="100"/>
              <w:right w:type="dxa" w:w="120"/>
            </w:tcMar>
          </w:tcPr>
          <w:p>
            <w:r>
              <w:rPr>
                <w:b w:val="false"/>
                <w:bCs w:val="false"/>
                <w:color w:val="000000"/>
                <w:sz w:val="20"/>
                <w:szCs w:val="20"/>
              </w:rPr>
              <w:t xml:space="preserve">Equipo + área social</w:t>
            </w:r>
          </w:p>
        </w:tc>
      </w:tr>
      <w:tr>
        <w:tc>
          <w:tcPr>
            <w:tcW w:type="dxa" w:w="2600"/>
            <w:tcMar>
              <w:top w:type="dxa" w:w="100"/>
              <w:left w:type="dxa" w:w="120"/>
              <w:bottom w:type="dxa" w:w="100"/>
              <w:right w:type="dxa" w:w="120"/>
            </w:tcMar>
          </w:tcPr>
          <w:p>
            <w:r>
              <w:rPr>
                <w:b w:val="false"/>
                <w:bCs w:val="false"/>
                <w:color w:val="000000"/>
                <w:sz w:val="20"/>
                <w:szCs w:val="20"/>
              </w:rPr>
              <w:t xml:space="preserve">Noviembre 2026</w:t>
            </w:r>
          </w:p>
        </w:tc>
        <w:tc>
          <w:tcPr>
            <w:tcW w:type="dxa" w:w="5000"/>
            <w:tcMar>
              <w:top w:type="dxa" w:w="100"/>
              <w:left w:type="dxa" w:w="120"/>
              <w:bottom w:type="dxa" w:w="100"/>
              <w:right w:type="dxa" w:w="120"/>
            </w:tcMar>
          </w:tcPr>
          <w:p>
            <w:r>
              <w:rPr>
                <w:b w:val="false"/>
                <w:bCs w:val="false"/>
                <w:color w:val="000000"/>
                <w:sz w:val="20"/>
                <w:szCs w:val="20"/>
              </w:rPr>
              <w:t xml:space="preserve">Entrega / demostración del proyecto de tesis</w:t>
            </w:r>
          </w:p>
        </w:tc>
        <w:tc>
          <w:tcPr>
            <w:tcW w:type="dxa" w:w="1600"/>
            <w:tcMar>
              <w:top w:type="dxa" w:w="100"/>
              <w:left w:type="dxa" w:w="120"/>
              <w:bottom w:type="dxa" w:w="100"/>
              <w:right w:type="dxa" w:w="120"/>
            </w:tcMar>
          </w:tcPr>
          <w:p>
            <w:r>
              <w:rPr>
                <w:b w:val="false"/>
                <w:bCs w:val="false"/>
                <w:color w:val="000000"/>
                <w:sz w:val="20"/>
                <w:szCs w:val="20"/>
              </w:rPr>
              <w:t xml:space="preserve">Equipo</w:t>
            </w:r>
          </w:p>
        </w:tc>
      </w:tr>
    </w:tbl>
    <w:p>
      <w:pPr>
        <w:pStyle w:val="Heading1"/>
        <w:spacing w:after="160" w:before="360"/>
      </w:pPr>
      <w:r>
        <w:rPr>
          <w:b/>
          <w:bCs/>
          <w:color w:val="1F3864"/>
          <w:sz w:val="28"/>
          <w:szCs w:val="28"/>
        </w:rPr>
        <w:t xml:space="preserve">7. Observaciones</w:t>
      </w:r>
    </w:p>
    <w:p>
      <w:pPr>
        <w:spacing w:after="160" w:line="300"/>
      </w:pPr>
      <w:r>
        <w:rPr>
          <w:sz w:val="22"/>
          <w:szCs w:val="22"/>
        </w:rPr>
        <w:t xml:space="preserve">El plazo de noviembre resulta adecuado para los tiempos académicos, dado que esta vertical —a diferencia de la logística con La Anónima— no tiene urgencia de despliegue comercial. Quedan pendientes de definición: la herramienta final para el desarrollo de agentes (Godubi vs. n8n), el detalle del sistema de trazabilidad organización-familia, y los requerimientos específicos que surjan de la validación con el área social del Banco de Alimentos.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2026-09-09T13:45:33.868Z</dcterms:created>
  <dcterms:modified xsi:type="dcterms:W3CDTF">2026-09-09T13:45:33.883Z</dcterms:modified>
</cp:coreProperties>
</file>

<file path=docProps/custom.xml><?xml version="1.0" encoding="utf-8"?>
<Properties xmlns="http://schemas.openxmlformats.org/officeDocument/2006/custom-properties" xmlns:vt="http://schemas.openxmlformats.org/officeDocument/2006/docPropsVTypes"/>
</file>