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khg</w:t>
      </w:r>
    </w:p>
    <w:p>
      <w:pPr>
        <w:pStyle w:val="Heading2"/>
      </w:pPr>
      <w:r>
        <w:t>1. Project Summary</w:t>
      </w:r>
    </w:p>
    <w:p>
      <w:r>
        <w:t>Wideband RF receiver front-end operating from 5-18 GHz with 5-10 GHz instantaneous bandwidth, 6-10 dB noise figure, and +20-30 dBm IP3. Outputs digitized I/Q data via JESD204C interface to FPGA/processor. Designed for military operating environment (-55 to +125°C) with moderate vibration tolerance.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Instantaneous Bandwidth</w:t>
            </w:r>
          </w:p>
        </w:tc>
        <w:tc>
          <w:tcPr>
            <w:tcW w:type="dxa" w:w="4320"/>
          </w:tcPr>
          <w:p>
            <w:r>
              <w:t>5-10 GHz (3 dB)</w:t>
            </w:r>
          </w:p>
        </w:tc>
      </w:tr>
      <w:tr>
        <w:tc>
          <w:tcPr>
            <w:tcW w:type="dxa" w:w="4320"/>
          </w:tcPr>
          <w:p>
            <w:r>
              <w:t>Noise Figure</w:t>
            </w:r>
          </w:p>
        </w:tc>
        <w:tc>
          <w:tcPr>
            <w:tcW w:type="dxa" w:w="4320"/>
          </w:tcPr>
          <w:p>
            <w:r>
              <w:t>≤10 dB (target 6-8 dB)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≥70 dB (target 80 dB)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+20 to +30 dBm</w:t>
            </w:r>
          </w:p>
        </w:tc>
      </w:tr>
      <w:tr>
        <w:tc>
          <w:tcPr>
            <w:tcW w:type="dxa" w:w="4320"/>
          </w:tcPr>
          <w:p>
            <w:r>
              <w:t>Digital Interface</w:t>
            </w:r>
          </w:p>
        </w:tc>
        <w:tc>
          <w:tcPr>
            <w:tcW w:type="dxa" w:w="4320"/>
          </w:tcPr>
          <w:p>
            <w:r>
              <w:t>JESD204C Subclass 1</w:t>
            </w:r>
          </w:p>
        </w:tc>
      </w:tr>
      <w:tr>
        <w:tc>
          <w:tcPr>
            <w:tcW w:type="dxa" w:w="4320"/>
          </w:tcPr>
          <w:p>
            <w:r>
              <w:t>Gain Control Range</w:t>
            </w:r>
          </w:p>
        </w:tc>
        <w:tc>
          <w:tcPr>
            <w:tcW w:type="dxa" w:w="4320"/>
          </w:tcPr>
          <w:p>
            <w:r>
              <w:t>40-60 dB analog</w:t>
            </w:r>
          </w:p>
        </w:tc>
      </w:tr>
      <w:tr>
        <w:tc>
          <w:tcPr>
            <w:tcW w:type="dxa" w:w="4320"/>
          </w:tcPr>
          <w:p>
            <w:r>
              <w:t>Input Impedance</w:t>
            </w:r>
          </w:p>
        </w:tc>
        <w:tc>
          <w:tcPr>
            <w:tcW w:type="dxa" w:w="4320"/>
          </w:tcPr>
          <w:p>
            <w:r>
              <w:t>Differential 100Ω</w:t>
            </w:r>
          </w:p>
        </w:tc>
      </w:tr>
      <w:tr>
        <w:tc>
          <w:tcPr>
            <w:tcW w:type="dxa" w:w="4320"/>
          </w:tcPr>
          <w:p>
            <w:r>
              <w:t>Power Budget</w:t>
            </w:r>
          </w:p>
        </w:tc>
        <w:tc>
          <w:tcPr>
            <w:tcW w:type="dxa" w:w="4320"/>
          </w:tcPr>
          <w:p>
            <w:r>
              <w:t>≤50W (target 30-40W)</w:t>
            </w:r>
          </w:p>
        </w:tc>
      </w:tr>
      <w:tr>
        <w:tc>
          <w:tcPr>
            <w:tcW w:type="dxa" w:w="4320"/>
          </w:tcPr>
          <w:p>
            <w:r>
              <w:t>Operating Temperature</w:t>
            </w:r>
          </w:p>
        </w:tc>
        <w:tc>
          <w:tcPr>
            <w:tcW w:type="dxa" w:w="4320"/>
          </w:tcPr>
          <w:p>
            <w:r>
              <w:t>-55°C to +125°C (military)</w:t>
            </w:r>
          </w:p>
        </w:tc>
      </w:tr>
      <w:tr>
        <w:tc>
          <w:tcPr>
            <w:tcW w:type="dxa" w:w="4320"/>
          </w:tcPr>
          <w:p>
            <w:r>
              <w:t>Vibration</w:t>
            </w:r>
          </w:p>
        </w:tc>
        <w:tc>
          <w:tcPr>
            <w:tcW w:type="dxa" w:w="4320"/>
          </w:tcPr>
          <w:p>
            <w:r>
              <w:t>Moderate per MIL-STD-883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+12V DC ±10%</w:t>
            </w:r>
          </w:p>
        </w:tc>
      </w:tr>
      <w:tr>
        <w:tc>
          <w:tcPr>
            <w:tcW w:type="dxa" w:w="4320"/>
          </w:tcPr>
          <w:p>
            <w:r>
              <w:t>Control Interface</w:t>
            </w:r>
          </w:p>
        </w:tc>
        <w:tc>
          <w:tcPr>
            <w:tcW w:type="dxa" w:w="4320"/>
          </w:tcPr>
          <w:p>
            <w:r>
              <w:t>SPI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Operating Frequency Range</w:t>
            </w:r>
          </w:p>
        </w:tc>
        <w:tc>
          <w:tcPr>
            <w:tcW w:type="dxa" w:w="1234"/>
          </w:tcPr>
          <w:p>
            <w:r>
              <w:t>Receiver shall tune across 5-18 GHz frequency range with continuous coverage.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Receiver shall support minimum 5 GHz instantaneous 3 dB bandwidth.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flatness: ±2 dB over 5 GHz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not exceed 10 dB across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target NF: ≤6 dB achievable with optimized LNA selection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Dynamic Range (SFDR)</w:t>
            </w:r>
          </w:p>
        </w:tc>
        <w:tc>
          <w:tcPr>
            <w:tcW w:type="dxa" w:w="1234"/>
          </w:tcPr>
          <w:p>
            <w:r>
              <w:t>Receiver spurious-free dynamic range shall be ≥70 dB.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target SFDR: 80 dB achievable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Input Third-Order Intercept Point</w:t>
            </w:r>
          </w:p>
        </w:tc>
        <w:tc>
          <w:tcPr>
            <w:tcW w:type="dxa" w:w="1234"/>
          </w:tcPr>
          <w:p>
            <w:r>
              <w:t>System input IP3 shall be +20 dBm minimum.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target IIP3: +25 to +30 dBm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Gain Control Range</w:t>
            </w:r>
          </w:p>
        </w:tc>
        <w:tc>
          <w:tcPr>
            <w:tcW w:type="dxa" w:w="1234"/>
          </w:tcPr>
          <w:p>
            <w:r>
              <w:t>Receiver shall provide minimum 40 dB of analog gain control in 1 dB steps.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target range: 60 dB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receiver power consumption shall not exceed 50W.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target: 30-40W typical</w:t>
            </w:r>
          </w:p>
        </w:tc>
      </w:tr>
    </w:tbl>
    <w:p/>
    <w:p>
      <w:pPr>
        <w:pStyle w:val="Heading3"/>
      </w:pPr>
      <w:r>
        <w:t>3.2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Digitized I/Q data shall output via JESD204C SerDes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lane rate: up to 12.5 Gbps per lane, subclass: 1 with SYSREF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Control Interface</w:t>
            </w:r>
          </w:p>
        </w:tc>
        <w:tc>
          <w:tcPr>
            <w:tcW w:type="dxa" w:w="1234"/>
          </w:tcPr>
          <w:p>
            <w:r>
              <w:t>Receiver shall support SPI serial interface for gain, frequency, and configuration control.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clock rate: up to 50 MHz</w:t>
            </w:r>
          </w:p>
        </w:tc>
      </w:tr>
    </w:tbl>
    <w:p/>
    <w:p>
      <w:pPr>
        <w:pStyle w:val="Heading3"/>
      </w:pPr>
      <w:r>
        <w:t>3.3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Input Impedance</w:t>
            </w:r>
          </w:p>
        </w:tc>
        <w:tc>
          <w:tcPr>
            <w:tcW w:type="dxa" w:w="1234"/>
          </w:tcPr>
          <w:p>
            <w:r>
              <w:t>RF input shall present differential 100Ω impedance.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VSWR ≤2.0:1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System shall operate from +12V DC primary supply.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allowable range: +10V to +14V DC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Receiver shall operate over military temperature range -55°C to +125°C.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All components shall meet MIL-PRF or industrial temp with derating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Vibration Tolerance</w:t>
            </w:r>
          </w:p>
        </w:tc>
        <w:tc>
          <w:tcPr>
            <w:tcW w:type="dxa" w:w="1234"/>
          </w:tcPr>
          <w:p>
            <w:r>
              <w:t>Receiver shall withstand moderate vibration per MIL-STD-883 Method 2007.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random vibration: 20-2000 Hz, 0.04 g²/Hz</w:t>
            </w:r>
          </w:p>
        </w:tc>
      </w:tr>
    </w:tbl>
    <w:p/>
    <w:p>
      <w:pPr>
        <w:pStyle w:val="Heading3"/>
      </w:pPr>
      <w:r>
        <w:t>3.5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RF Front-End Protection</w:t>
            </w:r>
          </w:p>
        </w:tc>
        <w:tc>
          <w:tcPr>
            <w:tcW w:type="dxa" w:w="1234"/>
          </w:tcPr>
          <w:p>
            <w:r>
              <w:t>Receiver shall include input limiter/protection for survivability to +20 dBm input.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recovery time: &lt;100 ns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Automatic Gain Control</w:t>
            </w:r>
          </w:p>
        </w:tc>
        <w:tc>
          <w:tcPr>
            <w:tcW w:type="dxa" w:w="1234"/>
          </w:tcPr>
          <w:p>
            <w:r>
              <w:t>Receiver shall support automatic gain control mode to maintain optimal ADC input level.</w:t>
            </w:r>
          </w:p>
        </w:tc>
        <w:tc>
          <w:tcPr>
            <w:tcW w:type="dxa" w:w="1234"/>
          </w:tcPr>
          <w:p>
            <w:r>
              <w:t>Could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settling time: &lt;1 µs</w:t>
            </w:r>
          </w:p>
        </w:tc>
      </w:tr>
    </w:tbl>
    <w:p/>
    <w:p>
      <w:pPr>
        <w:pStyle w:val="Heading3"/>
      </w:pPr>
      <w:r>
        <w:t>3.6 Compliance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Component Compliance</w:t>
            </w:r>
          </w:p>
        </w:tc>
        <w:tc>
          <w:tcPr>
            <w:tcW w:type="dxa" w:w="1234"/>
          </w:tcPr>
          <w:p>
            <w:r>
              <w:t>All components shall be RoHS compliant and available in military or industrial temperature grades.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avoid EOL parts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