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hardware-requirements"/>
    <w:p>
      <w:pPr>
        <w:pStyle w:val="Heading1"/>
      </w:pPr>
      <w:r>
        <w:t xml:space="preserve">Hardware Requirements</w:t>
      </w:r>
    </w:p>
    <w:bookmarkStart w:id="9" w:name="hv"/>
    <w:p>
      <w:pPr>
        <w:pStyle w:val="Heading2"/>
      </w:pPr>
      <w:r>
        <w:t xml:space="preserve">hv</w:t>
      </w:r>
    </w:p>
    <w:bookmarkEnd w:id="9"/>
    <w:bookmarkStart w:id="10" w:name="project-summary"/>
    <w:p>
      <w:pPr>
        <w:pStyle w:val="Heading2"/>
      </w:pPr>
      <w:r>
        <w:t xml:space="preserve">1. Project Summary</w:t>
      </w:r>
    </w:p>
    <w:p>
      <w:pPr>
        <w:pStyle w:val="FirstParagraph"/>
      </w:pPr>
      <w:r>
        <w:t xml:space="preserve">18-40 GHz dual-channel double-IF superheterodyne radar receiver covering K/Ka-band with 100-500 MHz IBW. The system provides &gt;60 dB cascaded gain, 6-10 dB NF, and phase-coherent processing for agile-PRF pulsed radar with 10-100 m range resolution. Two independent RF front-ends feed separate ADC channels digitised by a Kintex-7 FPGA over LVDS.</w:t>
      </w:r>
    </w:p>
    <w:bookmarkEnd w:id="10"/>
    <w:bookmarkStart w:id="11" w:name="design-parameters"/>
    <w:p>
      <w:pPr>
        <w:pStyle w:val="Heading2"/>
      </w:pPr>
      <w:r>
        <w:t xml:space="preserve">2. Design 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Range Ghz</w:t>
            </w:r>
          </w:p>
        </w:tc>
        <w:tc>
          <w:tcPr/>
          <w:p>
            <w:pPr>
              <w:pStyle w:val="Compact"/>
            </w:pPr>
            <w:r>
              <w:t xml:space="preserve">18-40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Instantaneous Bandwidth Mhz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Noise Figure Db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Gain Db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Iip3 Dbm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Power Dbm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Mds Dbm</w:t>
            </w:r>
          </w:p>
        </w:tc>
        <w:tc>
          <w:tcPr/>
          <w:p>
            <w:pPr>
              <w:pStyle w:val="Compact"/>
            </w:pPr>
            <w:r>
              <w:t xml:space="preserve">-81.2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 Voltage V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Budget W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Bandwidth Mhz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Antenna Count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 Count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Preselector Tech</w:t>
            </w:r>
          </w:p>
        </w:tc>
        <w:tc>
          <w:tcPr/>
          <w:p>
            <w:pPr>
              <w:pStyle w:val="Compact"/>
            </w:pPr>
            <w:r>
              <w:t xml:space="preserve">waveguide cavity BPF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If1 Mhz</w:t>
            </w:r>
          </w:p>
        </w:tc>
        <w:tc>
          <w:tcPr/>
          <w:p>
            <w:pPr>
              <w:pStyle w:val="Compact"/>
            </w:pPr>
            <w:r>
              <w:t xml:space="preserve">3100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If2 Mhz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Lo1 Phase Noise Dbc Per Hz</w:t>
            </w:r>
          </w:p>
        </w:tc>
        <w:tc>
          <w:tcPr/>
          <w:p>
            <w:pPr>
              <w:pStyle w:val="Compact"/>
            </w:pPr>
            <w:r>
              <w:t xml:space="preserve">-110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 Sample Rate Msps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 Enob Bits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Temp Min C</w:t>
            </w:r>
          </w:p>
        </w:tc>
        <w:tc>
          <w:tcPr/>
          <w:p>
            <w:pPr>
              <w:pStyle w:val="Compact"/>
            </w:pPr>
            <w:r>
              <w:t xml:space="preserve">-55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Temp Max C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Selectivity Dbc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Sfdr Db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Return Loss Db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Input Dbm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Cascaded Nf Db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Cascaded Gain Db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Cascaded P1Db Dbm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Cascaded Iip3 Dbm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</w:tbl>
    <w:bookmarkEnd w:id="11"/>
    <w:bookmarkStart w:id="17" w:name="requirements"/>
    <w:p>
      <w:pPr>
        <w:pStyle w:val="Heading2"/>
      </w:pPr>
      <w:r>
        <w:t xml:space="preserve">3. Requirements</w:t>
      </w:r>
    </w:p>
    <w:bookmarkStart w:id="12" w:name="functional-requirements"/>
    <w:p>
      <w:pPr>
        <w:pStyle w:val="Heading3"/>
      </w:pPr>
      <w:r>
        <w:t xml:space="preserve">3.1 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REQ-HW-001</w:t>
            </w:r>
          </w:p>
        </w:tc>
        <w:tc>
          <w:tcPr/>
          <w:p>
            <w:pPr>
              <w:pStyle w:val="Compact"/>
            </w:pPr>
            <w:r>
              <w:t xml:space="preserve">Frequency Coverage</w:t>
            </w:r>
          </w:p>
        </w:tc>
        <w:tc>
          <w:tcPr/>
          <w:p>
            <w:pPr>
              <w:pStyle w:val="Compact"/>
            </w:pPr>
            <w:r>
              <w:t xml:space="preserve">Receiver shall accept RF input signals in the 18-40 GHz (K/Ka-band) range with a double-IF superheterodyne architecture.</w:t>
            </w:r>
          </w:p>
        </w:tc>
        <w:tc>
          <w:tcPr/>
          <w:p>
            <w:pPr>
              <w:pStyle w:val="Compact"/>
            </w:pPr>
            <w:r>
              <w:t xml:space="preserve">shall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REQ-HW-015</w:t>
            </w:r>
          </w:p>
        </w:tc>
        <w:tc>
          <w:tcPr/>
          <w:p>
            <w:pPr>
              <w:pStyle w:val="Compact"/>
            </w:pPr>
            <w:r>
              <w:t xml:space="preserve">Dual-Channel Phase Coherence</w:t>
            </w:r>
          </w:p>
        </w:tc>
        <w:tc>
          <w:tcPr/>
          <w:p>
            <w:pPr>
              <w:pStyle w:val="Compact"/>
            </w:pPr>
            <w:r>
              <w:t xml:space="preserve">Two RF channels shall be phase-coherent sharing common LO references for coherent radar processing.</w:t>
            </w:r>
          </w:p>
        </w:tc>
        <w:tc>
          <w:tcPr/>
          <w:p>
            <w:pPr>
              <w:pStyle w:val="Compact"/>
            </w:pPr>
            <w:r>
              <w:t xml:space="preserve">shall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REQ-HW-021</w:t>
            </w:r>
          </w:p>
        </w:tc>
        <w:tc>
          <w:tcPr/>
          <w:p>
            <w:pPr>
              <w:pStyle w:val="Compact"/>
            </w:pPr>
            <w:r>
              <w:t xml:space="preserve">T/R Switching</w:t>
            </w:r>
          </w:p>
        </w:tc>
        <w:tc>
          <w:tcPr/>
          <w:p>
            <w:pPr>
              <w:pStyle w:val="Compact"/>
            </w:pPr>
            <w:r>
              <w:t xml:space="preserve">T/R switching time shall be less than 1 us for pulse radar operation.</w:t>
            </w:r>
          </w:p>
        </w:tc>
        <w:tc>
          <w:tcPr/>
          <w:p>
            <w:pPr>
              <w:pStyle w:val="Compact"/>
            </w:pPr>
            <w:r>
              <w:t xml:space="preserve">shall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2"/>
    <w:bookmarkStart w:id="13" w:name="performance-requirements"/>
    <w:p>
      <w:pPr>
        <w:pStyle w:val="Heading3"/>
      </w:pPr>
      <w:r>
        <w:t xml:space="preserve">3.2 Performance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REQ-HW-002</w:t>
            </w:r>
          </w:p>
        </w:tc>
        <w:tc>
          <w:tcPr/>
          <w:p>
            <w:pPr>
              <w:pStyle w:val="Compact"/>
            </w:pPr>
            <w:r>
              <w:t xml:space="preserve">Instantaneous Bandwidth</w:t>
            </w:r>
          </w:p>
        </w:tc>
        <w:tc>
          <w:tcPr/>
          <w:p>
            <w:pPr>
              <w:pStyle w:val="Compact"/>
            </w:pPr>
            <w:r>
              <w:t xml:space="preserve">Each RF channel shall support a minimum instantaneous bandwidth of 100 MHz and a maximum of 500 MHz. NOTE: 500 MHz IBW with 125 Msps ADC requires decimation or channelised processing per Architect Warning.</w:t>
            </w:r>
          </w:p>
        </w:tc>
        <w:tc>
          <w:tcPr/>
          <w:p>
            <w:pPr>
              <w:pStyle w:val="Compact"/>
            </w:pPr>
            <w:r>
              <w:t xml:space="preserve">shall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REQ-HW-003</w:t>
            </w:r>
          </w:p>
        </w:tc>
        <w:tc>
          <w:tcPr/>
          <w:p>
            <w:pPr>
              <w:pStyle w:val="Compact"/>
            </w:pPr>
            <w:r>
              <w:t xml:space="preserve">System Noise Figure</w:t>
            </w:r>
          </w:p>
        </w:tc>
        <w:tc>
          <w:tcPr/>
          <w:p>
            <w:pPr>
              <w:pStyle w:val="Compact"/>
            </w:pPr>
            <w:r>
              <w:t xml:space="preserve">Total system noise figure shall not exceed 10 dB across the full 18-40 GHz band, with a target of 6 dB at band centre.</w:t>
            </w:r>
          </w:p>
        </w:tc>
        <w:tc>
          <w:tcPr/>
          <w:p>
            <w:pPr>
              <w:pStyle w:val="Compact"/>
            </w:pPr>
            <w:r>
              <w:t xml:space="preserve">shall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REQ-HW-004</w:t>
            </w:r>
          </w:p>
        </w:tc>
        <w:tc>
          <w:tcPr/>
          <w:p>
            <w:pPr>
              <w:pStyle w:val="Compact"/>
            </w:pPr>
            <w:r>
              <w:t xml:space="preserve">Total System Gain</w:t>
            </w:r>
          </w:p>
        </w:tc>
        <w:tc>
          <w:tcPr/>
          <w:p>
            <w:pPr>
              <w:pStyle w:val="Compact"/>
            </w:pPr>
            <w:r>
              <w:t xml:space="preserve">End-to-end cascaded gain shall exceed 60 dB from RF input to ADC input, with a target of 65 dB.</w:t>
            </w:r>
          </w:p>
        </w:tc>
        <w:tc>
          <w:tcPr/>
          <w:p>
            <w:pPr>
              <w:pStyle w:val="Compact"/>
            </w:pPr>
            <w:r>
              <w:t xml:space="preserve">shall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REQ-HW-005</w:t>
            </w:r>
          </w:p>
        </w:tc>
        <w:tc>
          <w:tcPr/>
          <w:p>
            <w:pPr>
              <w:pStyle w:val="Compact"/>
            </w:pPr>
            <w:r>
              <w:t xml:space="preserve">Selectivity</w:t>
            </w:r>
          </w:p>
        </w:tc>
        <w:tc>
          <w:tcPr/>
          <w:p>
            <w:pPr>
              <w:pStyle w:val="Compact"/>
            </w:pPr>
            <w:r>
              <w:t xml:space="preserve">Adjacent-channel rejection shall exceed 100 dBc, achieved through cascaded BPF stages in double-IF architecture.</w:t>
            </w:r>
          </w:p>
        </w:tc>
        <w:tc>
          <w:tcPr/>
          <w:p>
            <w:pPr>
              <w:pStyle w:val="Compact"/>
            </w:pPr>
            <w:r>
              <w:t xml:space="preserve">shall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REQ-HW-006</w:t>
            </w:r>
          </w:p>
        </w:tc>
        <w:tc>
          <w:tcPr/>
          <w:p>
            <w:pPr>
              <w:pStyle w:val="Compact"/>
            </w:pPr>
            <w:r>
              <w:t xml:space="preserve">Spurious-Free Dynamic Range</w:t>
            </w:r>
          </w:p>
        </w:tc>
        <w:tc>
          <w:tcPr/>
          <w:p>
            <w:pPr>
              <w:pStyle w:val="Compact"/>
            </w:pPr>
            <w:r>
              <w:t xml:space="preserve">Two-tone SFDR shall exceed 90 dB, derived from IIP3-driven linearity and low noise floor.</w:t>
            </w:r>
          </w:p>
        </w:tc>
        <w:tc>
          <w:tcPr/>
          <w:p>
            <w:pPr>
              <w:pStyle w:val="Compact"/>
            </w:pPr>
            <w:r>
              <w:t xml:space="preserve">shall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REQ-HW-007</w:t>
            </w:r>
          </w:p>
        </w:tc>
        <w:tc>
          <w:tcPr/>
          <w:p>
            <w:pPr>
              <w:pStyle w:val="Compact"/>
            </w:pPr>
            <w:r>
              <w:t xml:space="preserve">Input Linearity</w:t>
            </w:r>
          </w:p>
        </w:tc>
        <w:tc>
          <w:tcPr/>
          <w:p>
            <w:pPr>
              <w:pStyle w:val="Compact"/>
            </w:pPr>
            <w:r>
              <w:t xml:space="preserve">System input IIP3 shall be at least +30 dBm to handle moderate blocker environments without desensitisation.</w:t>
            </w:r>
          </w:p>
        </w:tc>
        <w:tc>
          <w:tcPr/>
          <w:p>
            <w:pPr>
              <w:pStyle w:val="Compact"/>
            </w:pPr>
            <w:r>
              <w:t xml:space="preserve">shall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REQ-HW-008</w:t>
            </w:r>
          </w:p>
        </w:tc>
        <w:tc>
          <w:tcPr/>
          <w:p>
            <w:pPr>
              <w:pStyle w:val="Compact"/>
            </w:pPr>
            <w:r>
              <w:t xml:space="preserve">Output P1dB</w:t>
            </w:r>
          </w:p>
        </w:tc>
        <w:tc>
          <w:tcPr/>
          <w:p>
            <w:pPr>
              <w:pStyle w:val="Compact"/>
            </w:pPr>
            <w:r>
              <w:t xml:space="preserve">Output 1 dB compression point at the ADC driver output shall be +30 dBm.</w:t>
            </w:r>
          </w:p>
        </w:tc>
        <w:tc>
          <w:tcPr/>
          <w:p>
            <w:pPr>
              <w:pStyle w:val="Compact"/>
            </w:pPr>
            <w:r>
              <w:t xml:space="preserve">shall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REQ-HW-009</w:t>
            </w:r>
          </w:p>
        </w:tc>
        <w:tc>
          <w:tcPr/>
          <w:p>
            <w:pPr>
              <w:pStyle w:val="Compact"/>
            </w:pPr>
            <w:r>
              <w:t xml:space="preserve">Survivability</w:t>
            </w:r>
          </w:p>
        </w:tc>
        <w:tc>
          <w:tcPr/>
          <w:p>
            <w:pPr>
              <w:pStyle w:val="Compact"/>
            </w:pPr>
            <w:r>
              <w:t xml:space="preserve">Front-end shall survive continuous +40 dBm input at the antenna port without damage, protected by a GaAs Schottky limiter.</w:t>
            </w:r>
          </w:p>
        </w:tc>
        <w:tc>
          <w:tcPr/>
          <w:p>
            <w:pPr>
              <w:pStyle w:val="Compact"/>
            </w:pPr>
            <w:r>
              <w:t xml:space="preserve">shall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REQ-HW-010</w:t>
            </w:r>
          </w:p>
        </w:tc>
        <w:tc>
          <w:tcPr/>
          <w:p>
            <w:pPr>
              <w:pStyle w:val="Compact"/>
            </w:pPr>
            <w:r>
              <w:t xml:space="preserve">Input Return Loss</w:t>
            </w:r>
          </w:p>
        </w:tc>
        <w:tc>
          <w:tcPr/>
          <w:p>
            <w:pPr>
              <w:pStyle w:val="Compact"/>
            </w:pPr>
            <w:r>
              <w:t xml:space="preserve">RF input return loss shall be better than -10 dB (VSWR &lt; 2:1) across 18-40 GHz.</w:t>
            </w:r>
          </w:p>
        </w:tc>
        <w:tc>
          <w:tcPr/>
          <w:p>
            <w:pPr>
              <w:pStyle w:val="Compact"/>
            </w:pPr>
            <w:r>
              <w:t xml:space="preserve">shall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REQ-HW-011</w:t>
            </w:r>
          </w:p>
        </w:tc>
        <w:tc>
          <w:tcPr/>
          <w:p>
            <w:pPr>
              <w:pStyle w:val="Compact"/>
            </w:pPr>
            <w:r>
              <w:t xml:space="preserve">Gain Stability Mitigation</w:t>
            </w:r>
          </w:p>
        </w:tc>
        <w:tc>
          <w:tcPr/>
          <w:p>
            <w:pPr>
              <w:pStyle w:val="Compact"/>
            </w:pPr>
            <w:r>
              <w:t xml:space="preserve">With cascaded gain &gt;60 dB, each gain stage shall reside in a separate shielded cavity with isolated LC/ferrite-decoupled supply rails. A buffer amp shall be inserted between major gain blocks. AGC manages dynamic range only and does NOT prevent oscillation.</w:t>
            </w:r>
          </w:p>
        </w:tc>
        <w:tc>
          <w:tcPr/>
          <w:p>
            <w:pPr>
              <w:pStyle w:val="Compact"/>
            </w:pPr>
            <w:r>
              <w:t xml:space="preserve">shall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REQ-HW-016</w:t>
            </w:r>
          </w:p>
        </w:tc>
        <w:tc>
          <w:tcPr/>
          <w:p>
            <w:pPr>
              <w:pStyle w:val="Compact"/>
            </w:pPr>
            <w:r>
              <w:t xml:space="preserve">Pulse Processing</w:t>
            </w:r>
          </w:p>
        </w:tc>
        <w:tc>
          <w:tcPr/>
          <w:p>
            <w:pPr>
              <w:pStyle w:val="Compact"/>
            </w:pPr>
            <w:r>
              <w:t xml:space="preserve">System shall support pulse widths from 100 ns to 1 us with agile/jittered PRI and coherent processing intervals.</w:t>
            </w:r>
          </w:p>
        </w:tc>
        <w:tc>
          <w:tcPr/>
          <w:p>
            <w:pPr>
              <w:pStyle w:val="Compact"/>
            </w:pPr>
            <w:r>
              <w:t xml:space="preserve">shall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3"/>
    <w:bookmarkStart w:id="14" w:name="interface-requirements"/>
    <w:p>
      <w:pPr>
        <w:pStyle w:val="Heading3"/>
      </w:pPr>
      <w:r>
        <w:t xml:space="preserve">3.3 Interface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REQ-HW-012</w:t>
            </w:r>
          </w:p>
        </w:tc>
        <w:tc>
          <w:tcPr/>
          <w:p>
            <w:pPr>
              <w:pStyle w:val="Compact"/>
            </w:pPr>
            <w:r>
              <w:t xml:space="preserve">ADC Interface</w:t>
            </w:r>
          </w:p>
        </w:tc>
        <w:tc>
          <w:tcPr/>
          <w:p>
            <w:pPr>
              <w:pStyle w:val="Compact"/>
            </w:pPr>
            <w:r>
              <w:t xml:space="preserve">Dual-channel 12-bit ADC at 125 Msps per channel with LVDS outputs to FPGA. Clock jitter &lt;250 fs rms.</w:t>
            </w:r>
          </w:p>
        </w:tc>
        <w:tc>
          <w:tcPr/>
          <w:p>
            <w:pPr>
              <w:pStyle w:val="Compact"/>
            </w:pPr>
            <w:r>
              <w:t xml:space="preserve">shall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REQ-HW-013</w:t>
            </w:r>
          </w:p>
        </w:tc>
        <w:tc>
          <w:tcPr/>
          <w:p>
            <w:pPr>
              <w:pStyle w:val="Compact"/>
            </w:pPr>
            <w:r>
              <w:t xml:space="preserve">LO Phase Noise</w:t>
            </w:r>
          </w:p>
        </w:tc>
        <w:tc>
          <w:tcPr/>
          <w:p>
            <w:pPr>
              <w:pStyle w:val="Compact"/>
            </w:pPr>
            <w:r>
              <w:t xml:space="preserve">LO phase noise shall be better than -110 dBc/Hz at 10 kHz offset from carrier, using TCXO + PLL architecture.</w:t>
            </w:r>
          </w:p>
        </w:tc>
        <w:tc>
          <w:tcPr/>
          <w:p>
            <w:pPr>
              <w:pStyle w:val="Compact"/>
            </w:pPr>
            <w:r>
              <w:t xml:space="preserve">shall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REQ-HW-014</w:t>
            </w:r>
          </w:p>
        </w:tc>
        <w:tc>
          <w:tcPr/>
          <w:p>
            <w:pPr>
              <w:pStyle w:val="Compact"/>
            </w:pPr>
            <w:r>
              <w:t xml:space="preserve">Digital Processing</w:t>
            </w:r>
          </w:p>
        </w:tc>
        <w:tc>
          <w:tcPr/>
          <w:p>
            <w:pPr>
              <w:pStyle w:val="Compact"/>
            </w:pPr>
            <w:r>
              <w:t xml:space="preserve">Kintex-7 FPGA shall perform phase-coherent pulse processing, data formatting, and LVDS output interface.</w:t>
            </w:r>
          </w:p>
        </w:tc>
        <w:tc>
          <w:tcPr/>
          <w:p>
            <w:pPr>
              <w:pStyle w:val="Compact"/>
            </w:pPr>
            <w:r>
              <w:t xml:space="preserve">shall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4"/>
    <w:bookmarkStart w:id="15" w:name="environmental-requirements"/>
    <w:p>
      <w:pPr>
        <w:pStyle w:val="Heading3"/>
      </w:pPr>
      <w:r>
        <w:t xml:space="preserve">3.4 Environmental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REQ-HW-017</w:t>
            </w:r>
          </w:p>
        </w:tc>
        <w:tc>
          <w:tcPr/>
          <w:p>
            <w:pPr>
              <w:pStyle w:val="Compact"/>
            </w:pPr>
            <w:r>
              <w:t xml:space="preserve">Operating Temperature</w:t>
            </w:r>
          </w:p>
        </w:tc>
        <w:tc>
          <w:tcPr/>
          <w:p>
            <w:pPr>
              <w:pStyle w:val="Compact"/>
            </w:pPr>
            <w:r>
              <w:t xml:space="preserve">All components shall operate over -55 to +125 deg C (military temperature grade).</w:t>
            </w:r>
          </w:p>
        </w:tc>
        <w:tc>
          <w:tcPr/>
          <w:p>
            <w:pPr>
              <w:pStyle w:val="Compact"/>
            </w:pPr>
            <w:r>
              <w:t xml:space="preserve">shall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REQ-HW-018</w:t>
            </w:r>
          </w:p>
        </w:tc>
        <w:tc>
          <w:tcPr/>
          <w:p>
            <w:pPr>
              <w:pStyle w:val="Compact"/>
            </w:pPr>
            <w:r>
              <w:t xml:space="preserve">Vibration and Shock</w:t>
            </w:r>
          </w:p>
        </w:tc>
        <w:tc>
          <w:tcPr/>
          <w:p>
            <w:pPr>
              <w:pStyle w:val="Compact"/>
            </w:pPr>
            <w:r>
              <w:t xml:space="preserve">Assembly shall meet MIL-STD-810 light vibration and shock profiles.</w:t>
            </w:r>
          </w:p>
        </w:tc>
        <w:tc>
          <w:tcPr/>
          <w:p>
            <w:pPr>
              <w:pStyle w:val="Compact"/>
            </w:pPr>
            <w:r>
              <w:t xml:space="preserve">shall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5"/>
    <w:bookmarkStart w:id="16" w:name="constraint-requirements"/>
    <w:p>
      <w:pPr>
        <w:pStyle w:val="Heading3"/>
      </w:pPr>
      <w:r>
        <w:t xml:space="preserve">3.5 Constraint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REQ-HW-019</w:t>
            </w:r>
          </w:p>
        </w:tc>
        <w:tc>
          <w:tcPr/>
          <w:p>
            <w:pPr>
              <w:pStyle w:val="Compact"/>
            </w:pPr>
            <w:r>
              <w:t xml:space="preserve">Power Budget</w:t>
            </w:r>
          </w:p>
        </w:tc>
        <w:tc>
          <w:tcPr/>
          <w:p>
            <w:pPr>
              <w:pStyle w:val="Compact"/>
            </w:pPr>
            <w:r>
              <w:t xml:space="preserve">Total DC power consumption shall not exceed 15 W from a +15 V primary supply rail. Estimated system draw: ~11.5 W.</w:t>
            </w:r>
          </w:p>
        </w:tc>
        <w:tc>
          <w:tcPr/>
          <w:p>
            <w:pPr>
              <w:pStyle w:val="Compact"/>
            </w:pPr>
            <w:r>
              <w:t xml:space="preserve">shall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REQ-HW-020</w:t>
            </w:r>
          </w:p>
        </w:tc>
        <w:tc>
          <w:tcPr/>
          <w:p>
            <w:pPr>
              <w:pStyle w:val="Compact"/>
            </w:pPr>
            <w:r>
              <w:t xml:space="preserve">ADC Nyquist Warning</w:t>
            </w:r>
          </w:p>
        </w:tc>
        <w:tc>
          <w:tcPr/>
          <w:p>
            <w:pPr>
              <w:pStyle w:val="Compact"/>
            </w:pPr>
            <w:r>
              <w:t xml:space="preserve">IBW up to 500 MHz with 125 Msps ADC creates aliasing risk. Mitigation: limit effective IBW to &lt;=50 MHz per channel or upgrade ADC to &gt;=1.25 GSPS JESD204B. The 125 Msps rate supports 100 ns pulse capture for narrow sub-bands only.</w:t>
            </w:r>
          </w:p>
        </w:tc>
        <w:tc>
          <w:tcPr/>
          <w:p>
            <w:pPr>
              <w:pStyle w:val="Compact"/>
            </w:pPr>
            <w: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2026-04-25T17:21:38Z</dcterms:created>
  <dcterms:modified xsi:type="dcterms:W3CDTF">2026-04-25T17:21:38Z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