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dkfjg</w:t>
      </w:r>
    </w:p>
    <w:p>
      <w:pPr>
        <w:pStyle w:val="Heading2"/>
      </w:pPr>
      <w:r>
        <w:t>1. Project Summary</w:t>
      </w:r>
    </w:p>
    <w:p>
      <w:r>
        <w:t>Wideband RF receiver covering 5-18 GHz frequency range with high linearity (OIP3 &gt;20 dBm) and low noise figure (&lt;3 dB). Designed for military applications with MIL-STD-461 compliance, operating from -55°C to +125°C. System provides 30-40 dB gain and outputs digitized data via LVDS interface.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Instantaneous Bandwidth</w:t>
            </w:r>
          </w:p>
        </w:tc>
        <w:tc>
          <w:tcPr>
            <w:tcW w:type="dxa" w:w="4320"/>
          </w:tcPr>
          <w:p>
            <w:r>
              <w:t>13 GHz</w:t>
            </w:r>
          </w:p>
        </w:tc>
      </w:tr>
      <w:tr>
        <w:tc>
          <w:tcPr>
            <w:tcW w:type="dxa" w:w="4320"/>
          </w:tcPr>
          <w:p>
            <w:r>
              <w:t>Noise Figure Max</w:t>
            </w:r>
          </w:p>
        </w:tc>
        <w:tc>
          <w:tcPr>
            <w:tcW w:type="dxa" w:w="4320"/>
          </w:tcPr>
          <w:p>
            <w:r>
              <w:t>3 dB</w:t>
            </w:r>
          </w:p>
        </w:tc>
      </w:tr>
      <w:tr>
        <w:tc>
          <w:tcPr>
            <w:tcW w:type="dxa" w:w="4320"/>
          </w:tcPr>
          <w:p>
            <w:r>
              <w:t>System Gain</w:t>
            </w:r>
          </w:p>
        </w:tc>
        <w:tc>
          <w:tcPr>
            <w:tcW w:type="dxa" w:w="4320"/>
          </w:tcPr>
          <w:p>
            <w:r>
              <w:t>30-40 dB adjustable</w:t>
            </w:r>
          </w:p>
        </w:tc>
      </w:tr>
      <w:tr>
        <w:tc>
          <w:tcPr>
            <w:tcW w:type="dxa" w:w="4320"/>
          </w:tcPr>
          <w:p>
            <w:r>
              <w:t>Iip3 Min</w:t>
            </w:r>
          </w:p>
        </w:tc>
        <w:tc>
          <w:tcPr>
            <w:tcW w:type="dxa" w:w="4320"/>
          </w:tcPr>
          <w:p>
            <w:r>
              <w:t>20 dBm</w:t>
            </w:r>
          </w:p>
        </w:tc>
      </w:tr>
      <w:tr>
        <w:tc>
          <w:tcPr>
            <w:tcW w:type="dxa" w:w="4320"/>
          </w:tcPr>
          <w:p>
            <w:r>
              <w:t>Input Sensitivity</w:t>
            </w:r>
          </w:p>
        </w:tc>
        <w:tc>
          <w:tcPr>
            <w:tcW w:type="dxa" w:w="4320"/>
          </w:tcPr>
          <w:p>
            <w:r>
              <w:t>-70 dBm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12V DC</w:t>
            </w:r>
          </w:p>
        </w:tc>
      </w:tr>
      <w:tr>
        <w:tc>
          <w:tcPr>
            <w:tcW w:type="dxa" w:w="4320"/>
          </w:tcPr>
          <w:p>
            <w:r>
              <w:t>Power Consumption</w:t>
            </w:r>
          </w:p>
        </w:tc>
        <w:tc>
          <w:tcPr>
            <w:tcW w:type="dxa" w:w="4320"/>
          </w:tcPr>
          <w:p>
            <w:r>
              <w:t>5-10W</w:t>
            </w:r>
          </w:p>
        </w:tc>
      </w:tr>
      <w:tr>
        <w:tc>
          <w:tcPr>
            <w:tcW w:type="dxa" w:w="4320"/>
          </w:tcPr>
          <w:p>
            <w:r>
              <w:t>Operating 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  <w:tr>
        <w:tc>
          <w:tcPr>
            <w:tcW w:type="dxa" w:w="4320"/>
          </w:tcPr>
          <w:p>
            <w:r>
              <w:t>Compliance Std</w:t>
            </w:r>
          </w:p>
        </w:tc>
        <w:tc>
          <w:tcPr>
            <w:tcW w:type="dxa" w:w="4320"/>
          </w:tcPr>
          <w:p>
            <w:r>
              <w:t>MIL-STD-461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Operating Frequency Range</w:t>
            </w:r>
          </w:p>
        </w:tc>
        <w:tc>
          <w:tcPr>
            <w:tcW w:type="dxa" w:w="1234"/>
          </w:tcPr>
          <w:p>
            <w:r>
              <w:t>Receiver shall operate continuously across 5-18 GHz frequency band (13 GHz instantaneous bandwidth).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Wideband front-end required, Multi-octave bandwidth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Noise Figure Specification</w:t>
            </w:r>
          </w:p>
        </w:tc>
        <w:tc>
          <w:tcPr>
            <w:tcW w:type="dxa" w:w="1234"/>
          </w:tcPr>
          <w:p>
            <w:r>
              <w:t>System noise figure shall be less than 3 dB across the entire 5-18 GHz operating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Gain</w:t>
            </w:r>
          </w:p>
        </w:tc>
        <w:tc>
          <w:tcPr>
            <w:tcW w:type="dxa" w:w="1234"/>
          </w:tcPr>
          <w:p>
            <w:r>
              <w:t>System gain shall be adjustable between 30-40 dB across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Third-Order Intercept Point</w:t>
            </w:r>
          </w:p>
        </w:tc>
        <w:tc>
          <w:tcPr>
            <w:tcW w:type="dxa" w:w="1234"/>
          </w:tcPr>
          <w:p>
            <w:r>
              <w:t>Input IP3 (IIP3) shall exceed 20 dBm to support high dynamic range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System shall detect and process signals as low as -70 dBm input power.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return loss shall be greater than 10 dB (VSWR &lt; 2:1)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variation shall not exceed ±3 dB across the 5-18 GHz operating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REQ-HW-003, 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receiver output shall be provided via LVDS interface for EMI resistance and long-distance signal integrity.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High-speed digital interface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use SMA connector (2.92mm K-compatible recommended for high-frequency operation up to 18 GHz).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50-ohm impedance</w:t>
            </w:r>
          </w:p>
        </w:tc>
      </w:tr>
    </w:tbl>
    <w:p/>
    <w:p>
      <w:pPr>
        <w:pStyle w:val="Heading3"/>
      </w:pPr>
      <w:r>
        <w:t>3.3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single 12V DC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External supply required, LDO regulation for sensitive front-end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shall be 5-10W from 12V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50-Ohm Impedance</w:t>
            </w:r>
          </w:p>
        </w:tc>
        <w:tc>
          <w:tcPr>
            <w:tcW w:type="dxa" w:w="1234"/>
          </w:tcPr>
          <w:p>
            <w:r>
              <w:t>All RF signal paths shall maintain 50-ohm characteristic impedance.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meet all performance specifications from -55°C to +125°C (military temperature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 components must be military-rated or automotive-grade with extended temperature qualification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EMI Compliance</w:t>
            </w:r>
          </w:p>
        </w:tc>
        <w:tc>
          <w:tcPr>
            <w:tcW w:type="dxa" w:w="1234"/>
          </w:tcPr>
          <w:p>
            <w:r>
              <w:t>Design shall comply with MIL-STD-461 electromagnetic interference requirements for military applications.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Proper shielding, Filtered I/O, Power supply decoupling</w:t>
            </w:r>
          </w:p>
        </w:tc>
      </w:tr>
    </w:tbl>
    <w:p/>
    <w:p>
      <w:pPr>
        <w:pStyle w:val="Heading3"/>
      </w:pPr>
      <w:r>
        <w:t>3.5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DC Blocking</w:t>
            </w:r>
          </w:p>
        </w:tc>
        <w:tc>
          <w:tcPr>
            <w:tcW w:type="dxa" w:w="1234"/>
          </w:tcPr>
          <w:p>
            <w:r>
              <w:t>RF input port shall include DC blocking to protect front-end devices from DC voltages.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Gain Control</w:t>
            </w:r>
          </w:p>
        </w:tc>
        <w:tc>
          <w:tcPr>
            <w:tcW w:type="dxa" w:w="1234"/>
          </w:tcPr>
          <w:p>
            <w:r>
              <w:t>System shall provide adjustable gain control (digital or analog) to optimize dynamic range for varying signal conditions.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