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Requirements</w:t>
      </w:r>
    </w:p>
    <w:p>
      <w:pPr>
        <w:pStyle w:val="Heading2"/>
      </w:pPr>
      <w:r>
        <w:t>yhh</w:t>
      </w:r>
    </w:p>
    <w:p>
      <w:pPr>
        <w:pStyle w:val="Heading2"/>
      </w:pPr>
      <w:r>
        <w:t>1. Project Summary</w:t>
      </w:r>
    </w:p>
    <w:p>
      <w:r>
        <w:t>4-channel monopulse radar RF front-end (18–40 GHz, K/Ka-band) with balanced LNA architecture using quad-hybrid coupling. Four independent receive chains feed a Σ/Δ₁/Δ₂ monopulse comparator network. Each chain comprises: N-type connector → PIN diode limiter → BFCN-1840+ ceramic preselector → PMA4-6263LN+ LNA → PMA3-15453+ Ka-band gain block → interstage BFCN-1840+ BPF → PMA3-15453+ second gain block → SCA-4-132+ 4-way monopulse combiner. The balanced LNA topology (two LNAs per antenna via 3 dB/90° hybrid) provides 14 dB input return loss and 6 dB extra OIP3 per channel. Total cascaded gain ~50 dB per chain, system NF ~4.4 dB, IIP3 +20 dBm. Power budget: ~25 W from +28 V MIL bus. Military temperature range -55 to +125°C, IP67 sealed, MIL-STD-810 compliant.</w:t>
      </w:r>
    </w:p>
    <w:p>
      <w:pPr>
        <w:pStyle w:val="Heading2"/>
      </w:pPr>
      <w:r>
        <w:t>2. Design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Frequency Range Ghz</w:t>
            </w:r>
          </w:p>
        </w:tc>
        <w:tc>
          <w:tcPr>
            <w:tcW w:type="dxa" w:w="4320"/>
          </w:tcPr>
          <w:p>
            <w:r>
              <w:t>18-40</w:t>
            </w:r>
          </w:p>
        </w:tc>
      </w:tr>
      <w:tr>
        <w:tc>
          <w:tcPr>
            <w:tcW w:type="dxa" w:w="4320"/>
          </w:tcPr>
          <w:p>
            <w:r>
              <w:t>Bandwidth Mhz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Noise Figure Db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Output Power Dbm</w:t>
            </w:r>
          </w:p>
        </w:tc>
        <w:tc>
          <w:tcPr>
            <w:tcW w:type="dxa" w:w="4320"/>
          </w:tcPr>
          <w:p>
            <w:r>
              <w:t>-10</w:t>
            </w:r>
          </w:p>
        </w:tc>
      </w:tr>
      <w:tr>
        <w:tc>
          <w:tcPr>
            <w:tcW w:type="dxa" w:w="4320"/>
          </w:tcPr>
          <w:p>
            <w:r>
              <w:t>Iip3 Dbm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System Gain Db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Mds Dbm</w:t>
            </w:r>
          </w:p>
        </w:tc>
        <w:tc>
          <w:tcPr>
            <w:tcW w:type="dxa" w:w="4320"/>
          </w:tcPr>
          <w:p>
            <w:r>
              <w:t>-99</w:t>
            </w:r>
          </w:p>
        </w:tc>
      </w:tr>
      <w:tr>
        <w:tc>
          <w:tcPr>
            <w:tcW w:type="dxa" w:w="4320"/>
          </w:tcPr>
          <w:p>
            <w:r>
              <w:t>Supply Voltage V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Power Budget W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Antenna Count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Channel Count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Preselector Tech</w:t>
            </w:r>
          </w:p>
        </w:tc>
        <w:tc>
          <w:tcPr>
            <w:tcW w:type="dxa" w:w="4320"/>
          </w:tcPr>
          <w:p>
            <w:r>
              <w:t>Ceramic</w:t>
            </w:r>
          </w:p>
        </w:tc>
      </w:tr>
      <w:tr>
        <w:tc>
          <w:tcPr>
            <w:tcW w:type="dxa" w:w="4320"/>
          </w:tcPr>
          <w:p>
            <w:r>
              <w:t>Cascaded Nf Db</w:t>
            </w:r>
          </w:p>
        </w:tc>
        <w:tc>
          <w:tcPr>
            <w:tcW w:type="dxa" w:w="4320"/>
          </w:tcPr>
          <w:p>
            <w:r>
              <w:t>4.4</w:t>
            </w:r>
          </w:p>
        </w:tc>
      </w:tr>
      <w:tr>
        <w:tc>
          <w:tcPr>
            <w:tcW w:type="dxa" w:w="4320"/>
          </w:tcPr>
          <w:p>
            <w:r>
              <w:t>Cascaded Gain Db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Cascaded P1Db Dbm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Cascaded Iip3 Dbm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Center Freq Ghz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Lna Technology</w:t>
            </w:r>
          </w:p>
        </w:tc>
        <w:tc>
          <w:tcPr>
            <w:tcW w:type="dxa" w:w="4320"/>
          </w:tcPr>
          <w:p>
            <w:r>
              <w:t>GaAs pHEMT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Balanced LNA (quad-hybrid)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Radar monopulse</w:t>
            </w:r>
          </w:p>
        </w:tc>
      </w:tr>
      <w:tr>
        <w:tc>
          <w:tcPr>
            <w:tcW w:type="dxa" w:w="4320"/>
          </w:tcPr>
          <w:p>
            <w:r>
              <w:t>Num Monopulse Outputs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Lnas Per Channel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Phase Tracking Deg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Amplitude Tracking Db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</w:tbl>
    <w:p/>
    <w:p>
      <w:pPr>
        <w:pStyle w:val="Heading2"/>
      </w:pPr>
      <w:r>
        <w:t>3. Requirements</w:t>
      </w:r>
    </w:p>
    <w:p>
      <w:pPr>
        <w:pStyle w:val="Heading3"/>
      </w:pPr>
      <w:r>
        <w:t>3.1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Frequency Range</w:t>
            </w:r>
          </w:p>
        </w:tc>
        <w:tc>
          <w:tcPr>
            <w:tcW w:type="dxa" w:w="1234"/>
          </w:tcPr>
          <w:p>
            <w:r>
              <w:t>The RF front-end shall operate over the full K/Ka-band frequency range of 18 GHz to 40 GHz (VSWR &lt; 1.5:1, RL &gt; 14 dB across band). All passive and active components must be specified and characterized across this entire range.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18-40 GHz continuous coverage</w:t>
            </w:r>
          </w:p>
        </w:tc>
      </w:tr>
      <w:tr>
        <w:tc>
          <w:tcPr>
            <w:tcW w:type="dxa" w:w="1234"/>
          </w:tcPr>
          <w:p>
            <w:r>
              <w:t>REQ-HW-009</w:t>
            </w:r>
          </w:p>
        </w:tc>
        <w:tc>
          <w:tcPr>
            <w:tcW w:type="dxa" w:w="1234"/>
          </w:tcPr>
          <w:p>
            <w:r>
              <w:t>Number of Parallel RF Channels</w:t>
            </w:r>
          </w:p>
        </w:tc>
        <w:tc>
          <w:tcPr>
            <w:tcW w:type="dxa" w:w="1234"/>
          </w:tcPr>
          <w:p>
            <w:r>
              <w:t>The system shall provide 4 independent RF receive channels, one per monopulse antenna element. Each channel has an identical signal chain (limiter, preselector, LNA, gain stages). Phase matching between channels: +/-5 degrees. Amplitude matching: +/-0.5 dB.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REQ-HW-010</w:t>
            </w:r>
          </w:p>
        </w:tc>
        <w:tc>
          <w:tcPr>
            <w:tcW w:type="dxa" w:w="1234"/>
          </w:tcPr>
          <w:p>
            <w:r>
              <w:t>Monopulse Comparator Network</w:t>
            </w:r>
          </w:p>
        </w:tc>
        <w:tc>
          <w:tcPr>
            <w:tcW w:type="dxa" w:w="1234"/>
          </w:tcPr>
          <w:p>
            <w:r>
              <w:t>A 4-way monopulse comparator (SCA-4-132+ based) shall combine the 4 channel outputs to produce Sum (Sigma), Elevation Difference (Delta-EL), Azimuth Difference (Delta-AZ), and Delta-Delta channels. Comparator isolation: &gt; 20 dB between sum and difference ports.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REQ-HW-011</w:t>
            </w:r>
          </w:p>
        </w:tc>
        <w:tc>
          <w:tcPr>
            <w:tcW w:type="dxa" w:w="1234"/>
          </w:tcPr>
          <w:p>
            <w:r>
              <w:t>Balanced LNA Architecture</w:t>
            </w:r>
          </w:p>
        </w:tc>
        <w:tc>
          <w:tcPr>
            <w:tcW w:type="dxa" w:w="1234"/>
          </w:tcPr>
          <w:p>
            <w:r>
              <w:t>Each channel LNA shall use a balanced (quad-hybrid) topology: input 3 dB/90-degree hybrid feeds two identical LNAs, output hybrid recombines. Benefits: improved input return loss (&gt; 20 dB), doubled OIP3 (+6 dB), redundancy if one LNA fails. Each balanced pair uses 2x PMA4-6263LN+.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REQ-HW-012</w:t>
            </w:r>
          </w:p>
        </w:tc>
        <w:tc>
          <w:tcPr>
            <w:tcW w:type="dxa" w:w="1234"/>
          </w:tcPr>
          <w:p>
            <w:r>
              <w:t>Antenna Interface</w:t>
            </w:r>
          </w:p>
        </w:tc>
        <w:tc>
          <w:tcPr>
            <w:tcW w:type="dxa" w:w="1234"/>
          </w:tcPr>
          <w:p>
            <w:r>
              <w:t>Each of the 4 antenna inputs shall interface via N-type connector (50 ohm). Internally, a balun/transformer converts from the 100-ohm differential antenna feed to 50-ohm single-ended for the RF chain. Connector: N-type female panel-mount, IP67 sealed.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REQ-HW-013</w:t>
            </w:r>
          </w:p>
        </w:tc>
        <w:tc>
          <w:tcPr>
            <w:tcW w:type="dxa" w:w="1234"/>
          </w:tcPr>
          <w:p>
            <w:r>
              <w:t>Preselector Filter</w:t>
            </w:r>
          </w:p>
        </w:tc>
        <w:tc>
          <w:tcPr>
            <w:tcW w:type="dxa" w:w="1234"/>
          </w:tcPr>
          <w:p>
            <w:r>
              <w:t>Each channel shall include a ceramic bandpass preselector filter (BFCN-1840+) between the limiter and LNA. This filter provides out-of-band rejection and limits noise bandwidth entering the LNA. The preselector is MANDATORY per canonical front-end topology.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REQ-HW-014</w:t>
            </w:r>
          </w:p>
        </w:tc>
        <w:tc>
          <w:tcPr>
            <w:tcW w:type="dxa" w:w="1234"/>
          </w:tcPr>
          <w:p>
            <w:r>
              <w:t>Limiter Protection</w:t>
            </w:r>
          </w:p>
        </w:tc>
        <w:tc>
          <w:tcPr>
            <w:tcW w:type="dxa" w:w="1234"/>
          </w:tcPr>
          <w:p>
            <w:r>
              <w:t>A PIN diode limiter circuit using Skyworks CLA4611-085LF shall protect each channel front-end. Limiter threshold: +10 to +15 dBm. Insertion loss at small signal: &lt; 0.5 dB. Peak power handling: +30 dBm. The limiter sits between the N-type connector and the preselector.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REQ-HW-015</w:t>
            </w:r>
          </w:p>
        </w:tc>
        <w:tc>
          <w:tcPr>
            <w:tcW w:type="dxa" w:w="1234"/>
          </w:tcPr>
          <w:p>
            <w:r>
              <w:t>T/R Protection Switch</w:t>
            </w:r>
          </w:p>
        </w:tc>
        <w:tc>
          <w:tcPr>
            <w:tcW w:type="dxa" w:w="1234"/>
          </w:tcPr>
          <w:p>
            <w:r>
              <w:t>A Qorvo QPC2420SR SPDT switch (0.02–30 GHz) shall be placed at each channel input for T/R protection during transmit pulses. Switching time &lt; 10 us. Isolation &gt; 30 dB. Handles TX leakage of 0 to +10 dBm. Note: For full 40 GHz coverage, switch isolation above 30 GHz will require characterization or an alternative approach.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REQ-HW-020</w:t>
            </w:r>
          </w:p>
        </w:tc>
        <w:tc>
          <w:tcPr>
            <w:tcW w:type="dxa" w:w="1234"/>
          </w:tcPr>
          <w:p>
            <w:r>
              <w:t>Active Bias Control</w:t>
            </w:r>
          </w:p>
        </w:tc>
        <w:tc>
          <w:tcPr>
            <w:tcW w:type="dxa" w:w="1234"/>
          </w:tcPr>
          <w:p>
            <w:r>
              <w:t>Each LNA and gain block shall use active bias circuitry to maintain constant quiescent current over temperature (-55 to +125 C) and supply variation. Bias settling time &lt; 10 us after T/R switch transition.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REQ-HW-027</w:t>
            </w:r>
          </w:p>
        </w:tc>
        <w:tc>
          <w:tcPr>
            <w:tcW w:type="dxa" w:w="1234"/>
          </w:tcPr>
          <w:p>
            <w:r>
              <w:t>High-Gain Stability</w:t>
            </w:r>
          </w:p>
        </w:tc>
        <w:tc>
          <w:tcPr>
            <w:tcW w:type="dxa" w:w="1234"/>
          </w:tcPr>
          <w:p>
            <w:r>
              <w:t>With cascaded gain of ~50 dB, the design shall incorporate interstage BPF (BFCN-1840+) between gain stages 1 and 2 to prevent oscillation via feedback. Shielded cavities per amplifier stage. Reverse input/output orientation on PCB layout. Minimum isolation between cavities: 80 dB.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REQ-HW-029</w:t>
            </w:r>
          </w:p>
        </w:tc>
        <w:tc>
          <w:tcPr>
            <w:tcW w:type="dxa" w:w="1234"/>
          </w:tcPr>
          <w:p>
            <w:r>
              <w:t>LNA Semiconductor Technology</w:t>
            </w:r>
          </w:p>
        </w:tc>
        <w:tc>
          <w:tcPr>
            <w:tcW w:type="dxa" w:w="1234"/>
          </w:tcPr>
          <w:p>
            <w:r>
              <w:t>Per user specification, SiGe BiCMOS LNA technology is preferred. However, for 18-40 GHz operation, GaAs pHEMT MMICs (PMA4-6263LN+) are used as the closest available broadband technology covering the full band. If SiGe parts covering 18-40 GHz become available, they may be evaluated as drop-in replacements.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REQ-HW-034</w:t>
            </w:r>
          </w:p>
        </w:tc>
        <w:tc>
          <w:tcPr>
            <w:tcW w:type="dxa" w:w="1234"/>
          </w:tcPr>
          <w:p>
            <w:r>
              <w:t>BIT / Self-Test</w:t>
            </w:r>
          </w:p>
        </w:tc>
        <w:tc>
          <w:tcPr>
            <w:tcW w:type="dxa" w:w="1234"/>
          </w:tcPr>
          <w:p>
            <w:r>
              <w:t>A built-in test capability shall be provided to verify front-end functionality: RF power detection at each channel output, temperature monitoring at LNA locations, and supply voltage monitoring. BIT shall detect &gt; 90% of catastrophic failures.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3.2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REQ-HW-002</w:t>
            </w:r>
          </w:p>
        </w:tc>
        <w:tc>
          <w:tcPr>
            <w:tcW w:type="dxa" w:w="1234"/>
          </w:tcPr>
          <w:p>
            <w:r>
              <w:t>Instantaneous Bandwidth</w:t>
            </w:r>
          </w:p>
        </w:tc>
        <w:tc>
          <w:tcPr>
            <w:tcW w:type="dxa" w:w="1234"/>
          </w:tcPr>
          <w:p>
            <w:r>
              <w:t>Each RF channel shall support a minimum instantaneous bandwidth (IBW) of 500 MHz within the 18–40 GHz operating range, selectable via sub-band ceramic preselector filters.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REQ-HW-003</w:t>
            </w:r>
          </w:p>
        </w:tc>
        <w:tc>
          <w:tcPr>
            <w:tcW w:type="dxa" w:w="1234"/>
          </w:tcPr>
          <w:p>
            <w:r>
              <w:t>System Noise Figure</w:t>
            </w:r>
          </w:p>
        </w:tc>
        <w:tc>
          <w:tcPr>
            <w:tcW w:type="dxa" w:w="1234"/>
          </w:tcPr>
          <w:p>
            <w:r>
              <w:t>The cascaded system noise figure shall not exceed 6.0 dB at any frequency within the 18–40 GHz range. Target NF is 4.0–5.0 dB at mid-band (29 GHz). Derivation: NF = MDS - (-174 + 10*log10(BW)) - SNR_target.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REQ-HW-004</w:t>
            </w:r>
          </w:p>
        </w:tc>
        <w:tc>
          <w:tcPr>
            <w:tcW w:type="dxa" w:w="1234"/>
          </w:tcPr>
          <w:p>
            <w:r>
              <w:t>LNA Chain Gain</w:t>
            </w:r>
          </w:p>
        </w:tc>
        <w:tc>
          <w:tcPr>
            <w:tcW w:type="dxa" w:w="1234"/>
          </w:tcPr>
          <w:p>
            <w:r>
              <w:t>Each RF channel shall provide a total small-signal gain of 40–60 dB (nominal 50 dB) across the operating band. Gain variation shall not exceed +/-2 dB across any 500 MHz sub-band.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REQ-HW-005</w:t>
            </w:r>
          </w:p>
        </w:tc>
        <w:tc>
          <w:tcPr>
            <w:tcW w:type="dxa" w:w="1234"/>
          </w:tcPr>
          <w:p>
            <w:r>
              <w:t>Input Third-Order Intercept Point (IIP3)</w:t>
            </w:r>
          </w:p>
        </w:tc>
        <w:tc>
          <w:tcPr>
            <w:tcW w:type="dxa" w:w="1234"/>
          </w:tcPr>
          <w:p>
            <w:r>
              <w:t>System IIP3 shall be +20 dBm minimum. Balanced LNA architecture with quad-hybrid coupling provides 6 dB OIP3 improvement over single-ended topology. OIP3 target: +70 dBm (IIP3 + Gain = +20 + 50 = +70 dBm).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REQ-HW-006</w:t>
            </w:r>
          </w:p>
        </w:tc>
        <w:tc>
          <w:tcPr>
            <w:tcW w:type="dxa" w:w="1234"/>
          </w:tcPr>
          <w:p>
            <w:r>
              <w:t>Maximum Input Power / Survivability</w:t>
            </w:r>
          </w:p>
        </w:tc>
        <w:tc>
          <w:tcPr>
            <w:tcW w:type="dxa" w:w="1234"/>
          </w:tcPr>
          <w:p>
            <w:r>
              <w:t>The front-end shall survive continuous input power of +30 dBm (1 W) without damage or performance degradation. PIN diode limiter network (CLA4611-085LF) shall limit LNA input to &lt; +15 dBm CW. Recovery time &lt; 1 us after overload removal.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REQ-HW-007</w:t>
            </w:r>
          </w:p>
        </w:tc>
        <w:tc>
          <w:tcPr>
            <w:tcW w:type="dxa" w:w="1234"/>
          </w:tcPr>
          <w:p>
            <w:r>
              <w:t>Input Return Loss / VSWR</w:t>
            </w:r>
          </w:p>
        </w:tc>
        <w:tc>
          <w:tcPr>
            <w:tcW w:type="dxa" w:w="1234"/>
          </w:tcPr>
          <w:p>
            <w:r>
              <w:t>Input return loss shall be better than 14 dB (VSWR &lt; 1.5:1) across 18–40 GHz. The balanced LNA topology inherently provides excellent input match through 90-degree hybrid coupling.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REQ-HW-008</w:t>
            </w:r>
          </w:p>
        </w:tc>
        <w:tc>
          <w:tcPr>
            <w:tcW w:type="dxa" w:w="1234"/>
          </w:tcPr>
          <w:p>
            <w:r>
              <w:t>Minimum Detectable Signal</w:t>
            </w:r>
          </w:p>
        </w:tc>
        <w:tc>
          <w:tcPr>
            <w:tcW w:type="dxa" w:w="1234"/>
          </w:tcPr>
          <w:p>
            <w:r>
              <w:t>Derived MDS shall be -84.2 dBm for 500 MHz bandwidth at NF = 5 dB, using MDS = -174 + 10*log10(500e6) + NF + SNR = -174 + 57 + 5 + 13 = -99 dBm (for pulsed radar with SNR=13 dB processing gain). For 100 MHz BW: MDS = -174 + 50 + 5 + 13 = -106 dBm.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REQ-HW-016</w:t>
            </w:r>
          </w:p>
        </w:tc>
        <w:tc>
          <w:tcPr>
            <w:tcW w:type="dxa" w:w="1234"/>
          </w:tcPr>
          <w:p>
            <w:r>
              <w:t>Pulse Handling</w:t>
            </w:r>
          </w:p>
        </w:tc>
        <w:tc>
          <w:tcPr>
            <w:tcW w:type="dxa" w:w="1234"/>
          </w:tcPr>
          <w:p>
            <w:r>
              <w:t>The front-end shall faithfully process radar pulses with widths from 100 ns to 1 us without amplitude droop or phase distortion exceeding 0.5 dB and 5 degrees respectively. Group delay variation across any 500 MHz sub-band shall not exceed 2 ns.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REQ-HW-017</w:t>
            </w:r>
          </w:p>
        </w:tc>
        <w:tc>
          <w:tcPr>
            <w:tcW w:type="dxa" w:w="1234"/>
          </w:tcPr>
          <w:p>
            <w:r>
              <w:t>Phase Coherence</w:t>
            </w:r>
          </w:p>
        </w:tc>
        <w:tc>
          <w:tcPr>
            <w:tcW w:type="dxa" w:w="1234"/>
          </w:tcPr>
          <w:p>
            <w:r>
              <w:t>The 4-channel front-end shall maintain phase coherence suitable for monopulse processing. Inter-channel phase tracking: +/-5 degrees across 18–40 GHz. Inter-channel amplitude tracking: +/-0.5 dB.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REQ-HW-018</w:t>
            </w:r>
          </w:p>
        </w:tc>
        <w:tc>
          <w:tcPr>
            <w:tcW w:type="dxa" w:w="1234"/>
          </w:tcPr>
          <w:p>
            <w:r>
              <w:t>TX Leakage Handling</w:t>
            </w:r>
          </w:p>
        </w:tc>
        <w:tc>
          <w:tcPr>
            <w:tcW w:type="dxa" w:w="1234"/>
          </w:tcPr>
          <w:p>
            <w:r>
              <w:t>The front-end shall withstand TX leakage levels of 0 to +10 dBm at the LNA input without gain compression or damage. The T/R switch + limiter cascade provides &gt; 40 dB isolation during TX phase.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REQ-HW-019</w:t>
            </w:r>
          </w:p>
        </w:tc>
        <w:tc>
          <w:tcPr>
            <w:tcW w:type="dxa" w:w="1234"/>
          </w:tcPr>
          <w:p>
            <w:r>
              <w:t>Output Interface to Downstream Receiver</w:t>
            </w:r>
          </w:p>
        </w:tc>
        <w:tc>
          <w:tcPr>
            <w:tcW w:type="dxa" w:w="1234"/>
          </w:tcPr>
          <w:p>
            <w:r>
              <w:t>Each monopulse comparator output (Sigma, Delta-EL, Delta-AZ, Delta-Delta) shall present a 50-ohm RF output at SMA-female connectors, suitable for feeding a superheterodyne receiver. Output power range: -60 to -10 dBm. Output P1dB &gt; +10 dBm.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REQ-HW-032</w:t>
            </w:r>
          </w:p>
        </w:tc>
        <w:tc>
          <w:tcPr>
            <w:tcW w:type="dxa" w:w="1234"/>
          </w:tcPr>
          <w:p>
            <w:r>
              <w:t>Gain Flatness</w:t>
            </w:r>
          </w:p>
        </w:tc>
        <w:tc>
          <w:tcPr>
            <w:tcW w:type="dxa" w:w="1234"/>
          </w:tcPr>
          <w:p>
            <w:r>
              <w:t>Total gain variation across the full 18-40 GHz band shall not exceed +/-3 dB. Within any 500 MHz sub-band, gain variation shall not exceed +/-1 dB.</w:t>
            </w:r>
          </w:p>
        </w:tc>
        <w:tc>
          <w:tcPr>
            <w:tcW w:type="dxa" w:w="1234"/>
          </w:tcPr>
          <w:p>
            <w:r>
              <w:t>Should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REQ-HW-033</w:t>
            </w:r>
          </w:p>
        </w:tc>
        <w:tc>
          <w:tcPr>
            <w:tcW w:type="dxa" w:w="1234"/>
          </w:tcPr>
          <w:p>
            <w:r>
              <w:t>Output P1dB</w:t>
            </w:r>
          </w:p>
        </w:tc>
        <w:tc>
          <w:tcPr>
            <w:tcW w:type="dxa" w:w="1234"/>
          </w:tcPr>
          <w:p>
            <w:r>
              <w:t>Each channel output P1dB shall exceed +10 dBm. Each monopulse comparator output P1dB shall exceed +5 dBm after combining losses.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REQ-HW-035</w:t>
            </w:r>
          </w:p>
        </w:tc>
        <w:tc>
          <w:tcPr>
            <w:tcW w:type="dxa" w:w="1234"/>
          </w:tcPr>
          <w:p>
            <w:r>
              <w:t>Noise Figure Budget per Cascade Stage</w:t>
            </w:r>
          </w:p>
        </w:tc>
        <w:tc>
          <w:tcPr>
            <w:tcW w:type="dxa" w:w="1234"/>
          </w:tcPr>
          <w:p>
            <w:r>
              <w:t>Friis cascade analysis (see GLB): System NF at 29 GHz = 3.55 dB (LNA input) + 0.5 dB (preselector IL) + contributions from post-LNA stages = ~4.4 dB total, within the 4-6 dB target.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3.3 Constraint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REQ-HW-021</w:t>
            </w:r>
          </w:p>
        </w:tc>
        <w:tc>
          <w:tcPr>
            <w:tcW w:type="dxa" w:w="1234"/>
          </w:tcPr>
          <w:p>
            <w:r>
              <w:t>Power Budget</w:t>
            </w:r>
          </w:p>
        </w:tc>
        <w:tc>
          <w:tcPr>
            <w:tcW w:type="dxa" w:w="1234"/>
          </w:tcPr>
          <w:p>
            <w:r>
              <w:t>Total DC power consumption shall not exceed 30 W from the +28 V MIL-STD-704 bus. Estimated breakdown: 8x PMA4-6263LN+ LNAs at 2 W each = 16 W, 8x PMA3-15453+ gain blocks at 1 W each = 8 W, bias/splitter/limiter/control = 6 W. Total ~30 W.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REQ-HW-022</w:t>
            </w:r>
          </w:p>
        </w:tc>
        <w:tc>
          <w:tcPr>
            <w:tcW w:type="dxa" w:w="1234"/>
          </w:tcPr>
          <w:p>
            <w:r>
              <w:t>Supply Voltage</w:t>
            </w:r>
          </w:p>
        </w:tc>
        <w:tc>
          <w:tcPr>
            <w:tcW w:type="dxa" w:w="1234"/>
          </w:tcPr>
          <w:p>
            <w:r>
              <w:t>Primary supply shall be +28 VDC per MIL-STD-704. Internal DC-DC conversion to +5V (via TI TPS54531DDA buck) and LDO regulation to required LNA/gain-block rails. Reverse polarity protection required on +28V input.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REQ-HW-023</w:t>
            </w:r>
          </w:p>
        </w:tc>
        <w:tc>
          <w:tcPr>
            <w:tcW w:type="dxa" w:w="1234"/>
          </w:tcPr>
          <w:p>
            <w:r>
              <w:t>Operating Temperature Range</w:t>
            </w:r>
          </w:p>
        </w:tc>
        <w:tc>
          <w:tcPr>
            <w:tcW w:type="dxa" w:w="1234"/>
          </w:tcPr>
          <w:p>
            <w:r>
              <w:t>The front-end shall operate over the full military temperature range of -55 C to +125 C (storage: -55 C to +125 C). All component junction temperatures shall remain within manufacturer-rated limits at T_amb = 125 C with appropriate thermal design (copper coins, thermal vias).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REQ-HW-028</w:t>
            </w:r>
          </w:p>
        </w:tc>
        <w:tc>
          <w:tcPr>
            <w:tcW w:type="dxa" w:w="1234"/>
          </w:tcPr>
          <w:p>
            <w:r>
              <w:t>PCB Stack-Up</w:t>
            </w:r>
          </w:p>
        </w:tc>
        <w:tc>
          <w:tcPr>
            <w:tcW w:type="dxa" w:w="1234"/>
          </w:tcPr>
          <w:p>
            <w:r>
              <w:t>RF PCB shall use Rogers RO4350B or equivalent low-loss laminate (Dk=3.66, tan delta=0.0037 at 10 GHz). Controlled-impedance 50-ohm microstrip or grounded coplanar waveguide. Minimum 4-layer stack-up with continuous ground plane on layer 2. Via fencing on all RF traces.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REQ-HW-030</w:t>
            </w:r>
          </w:p>
        </w:tc>
        <w:tc>
          <w:tcPr>
            <w:tcW w:type="dxa" w:w="1234"/>
          </w:tcPr>
          <w:p>
            <w:r>
              <w:t>RoHS / REACH Compliance</w:t>
            </w:r>
          </w:p>
        </w:tc>
        <w:tc>
          <w:tcPr>
            <w:tcW w:type="dxa" w:w="1234"/>
          </w:tcPr>
          <w:p>
            <w:r>
              <w:t>All components and assemblies shall comply with EU RoHS (2011/65/EU) and REACH regulations. Exemptions for defense applications shall be documented per project-specific ITAR requirements.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REQ-HW-031</w:t>
            </w:r>
          </w:p>
        </w:tc>
        <w:tc>
          <w:tcPr>
            <w:tcW w:type="dxa" w:w="1234"/>
          </w:tcPr>
          <w:p>
            <w:r>
              <w:t>ITAR Compliance</w:t>
            </w:r>
          </w:p>
        </w:tc>
        <w:tc>
          <w:tcPr>
            <w:tcW w:type="dxa" w:w="1234"/>
          </w:tcPr>
          <w:p>
            <w:r>
              <w:t>This radar front-end design is subject to ITAR (International Traffic in Arms Regulations, 22 CFR 120-130) as a defense article. All design data, components, and manufacturing shall be controlled accordingly.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REQ-HW-036</w:t>
            </w:r>
          </w:p>
        </w:tc>
        <w:tc>
          <w:tcPr>
            <w:tcW w:type="dxa" w:w="1234"/>
          </w:tcPr>
          <w:p>
            <w:r>
              <w:t>Regulator Thermal Budget</w:t>
            </w:r>
          </w:p>
        </w:tc>
        <w:tc>
          <w:tcPr>
            <w:tcW w:type="dxa" w:w="1234"/>
          </w:tcPr>
          <w:p>
            <w:r>
              <w:t>For each DC-DC converter and LDO: T_junction &lt;= 125 C at T_amb = 85 C (derated from 125 C operational for margin). TI TPS54531DDA buck: P_diss = P_out * (1-eta)/eta. At 15 W output, eta ~90%: P_diss = 1.67 W. T_j = 85 + 1.67 * theta_ja. Heatsink/copper pour required if T_j &gt; 110 C.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REQ-HW-037</w:t>
            </w:r>
          </w:p>
        </w:tc>
        <w:tc>
          <w:tcPr>
            <w:tcW w:type="dxa" w:w="1234"/>
          </w:tcPr>
          <w:p>
            <w:r>
              <w:t>Interstage Isolation Budget</w:t>
            </w:r>
          </w:p>
        </w:tc>
        <w:tc>
          <w:tcPr>
            <w:tcW w:type="dxa" w:w="1234"/>
          </w:tcPr>
          <w:p>
            <w:r>
              <w:t>With 50 dB cascaded gain, the reverse isolation through shared supply/ground paths must be &gt; 80 dB to prevent oscillation. Each gain stage shall have independent LC-filtered bias feeds. Shielded cavity walls between stages.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3.4 Environmental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REQ-HW-024</w:t>
            </w:r>
          </w:p>
        </w:tc>
        <w:tc>
          <w:tcPr>
            <w:tcW w:type="dxa" w:w="1234"/>
          </w:tcPr>
          <w:p>
            <w:r>
              <w:t>Vibration and Shock</w:t>
            </w:r>
          </w:p>
        </w:tc>
        <w:tc>
          <w:tcPr>
            <w:tcW w:type="dxa" w:w="1234"/>
          </w:tcPr>
          <w:p>
            <w:r>
              <w:t>The assembly shall meet MIL-STD-810 light vibration and shock requirements. All SMT components shall use underfill. Connectors shall be secured with locking hardware.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REQ-HW-025</w:t>
            </w:r>
          </w:p>
        </w:tc>
        <w:tc>
          <w:tcPr>
            <w:tcW w:type="dxa" w:w="1234"/>
          </w:tcPr>
          <w:p>
            <w:r>
              <w:t>Ingress Protection</w:t>
            </w:r>
          </w:p>
        </w:tc>
        <w:tc>
          <w:tcPr>
            <w:tcW w:type="dxa" w:w="1234"/>
          </w:tcPr>
          <w:p>
            <w:r>
              <w:t>The enclosure shall be rated IP67 (dust-tight, temporary immersion to 1 m). All RF connectors shall be IP67-sealed N-type. Gasketed enclosure lid with EMI gasket.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REQ-HW-026</w:t>
            </w:r>
          </w:p>
        </w:tc>
        <w:tc>
          <w:tcPr>
            <w:tcW w:type="dxa" w:w="1234"/>
          </w:tcPr>
          <w:p>
            <w:r>
              <w:t>EMC Compliance</w:t>
            </w:r>
          </w:p>
        </w:tc>
        <w:tc>
          <w:tcPr>
            <w:tcW w:type="dxa" w:w="1234"/>
          </w:tcPr>
          <w:p>
            <w:r>
              <w:t>The front-end shall comply with MIL-STD-461G CE102, CS101, CS114, RE102, RS103. Shielded compartments for each gain stage. Ferrite bead + LC decoupling on every bias rail.</w:t>
            </w:r>
          </w:p>
        </w:tc>
        <w:tc>
          <w:tcPr>
            <w:tcW w:type="dxa" w:w="1234"/>
          </w:tcPr>
          <w:p>
            <w:r>
              <w:t>Must have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