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hardware-requirements"/>
    <w:p>
      <w:pPr>
        <w:pStyle w:val="Heading1"/>
      </w:pPr>
      <w:r>
        <w:t xml:space="preserve">Hardware Requirements</w:t>
      </w:r>
    </w:p>
    <w:bookmarkStart w:id="9" w:name="rx-band"/>
    <w:p>
      <w:pPr>
        <w:pStyle w:val="Heading2"/>
      </w:pPr>
      <w:r>
        <w:t xml:space="preserve">rx band</w:t>
      </w:r>
    </w:p>
    <w:bookmarkEnd w:id="9"/>
    <w:bookmarkStart w:id="10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4-channel 18-40 GHz Double-IF Superheterodyne Radar Receiver System. Each of the 4 antenna channels includes a GaN LNA front-end, dual downconversion stages, VGA/AGC gain control, and 16-bit 210 Msps digitisation feeding a Xilinx Kintex-7 FPGA. Designed for military-grade operation (-55 to 125°C, MIL-STD-810, IP68) with &gt;60 dB cascaded gain, 6-10 dB system NF, +20 dBm IIP3, and phase-coherent processing for radar pulse analysis.</w:t>
      </w:r>
    </w:p>
    <w:bookmarkEnd w:id="10"/>
    <w:bookmarkStart w:id="11" w:name="design-parameters"/>
    <w:p>
      <w:pPr>
        <w:pStyle w:val="Heading2"/>
      </w:pPr>
      <w:r>
        <w:t xml:space="preserve">2. Design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Frequency Range Ghz</w:t>
            </w:r>
          </w:p>
        </w:tc>
        <w:tc>
          <w:tcPr/>
          <w:p>
            <w:pPr>
              <w:pStyle w:val="Compact"/>
            </w:pPr>
            <w:r>
              <w:t xml:space="preserve">18-40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Instantaneous Bandwidth Mhz</w:t>
            </w:r>
          </w:p>
        </w:tc>
        <w:tc>
          <w:tcPr/>
          <w:p>
            <w:pPr>
              <w:pStyle w:val="Compact"/>
            </w:pPr>
            <w:r>
              <w:t xml:space="preserve">100-500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Noise Figure Db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Gain Db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Iip3 Dbm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Power Dbm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Mds Dbm</w:t>
            </w:r>
          </w:p>
        </w:tc>
        <w:tc>
          <w:tcPr/>
          <w:p>
            <w:pPr>
              <w:pStyle w:val="Compact"/>
            </w:pPr>
            <w:r>
              <w:t xml:space="preserve">-81.2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Voltage V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 Budget W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Bandwidth Mhz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Antenna Count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Preselector Tech</w:t>
            </w:r>
          </w:p>
        </w:tc>
        <w:tc>
          <w:tcPr/>
          <w:p>
            <w:pPr>
              <w:pStyle w:val="Compact"/>
            </w:pPr>
            <w:r>
              <w:t xml:space="preserve">tunable_yig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Cascaded Gain Db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Cascaded Nf Db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Cascaded P1Db Dbm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Cascaded Iip3 Dbm</w:t>
            </w:r>
          </w:p>
        </w:tc>
        <w:tc>
          <w:tcPr/>
          <w:p>
            <w:pPr>
              <w:pStyle w:val="Compact"/>
            </w:pPr>
            <w:r>
              <w:t xml:space="preserve">24.0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Sample Rate Msps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Adc Resolution Bits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 Phase Noise Dbc Hz At 10Khz</w:t>
            </w:r>
          </w:p>
        </w:tc>
        <w:tc>
          <w:tcPr/>
          <w:p>
            <w:pPr>
              <w:pStyle w:val="Compact"/>
            </w:pPr>
            <w:r>
              <w:t xml:space="preserve">-120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If Stages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If1 Frequency Ghz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If2 Frequency Mhz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</w:tbl>
    <w:bookmarkEnd w:id="11"/>
    <w:bookmarkStart w:id="17" w:name="requirements"/>
    <w:p>
      <w:pPr>
        <w:pStyle w:val="Heading2"/>
      </w:pPr>
      <w:r>
        <w:t xml:space="preserve">3. Requirements</w:t>
      </w:r>
    </w:p>
    <w:bookmarkStart w:id="12" w:name="performance-requirements"/>
    <w:p>
      <w:pPr>
        <w:pStyle w:val="Heading3"/>
      </w:pPr>
      <w:r>
        <w:t xml:space="preserve">3.1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REQ-HW-001</w:t>
            </w:r>
          </w:p>
        </w:tc>
        <w:tc>
          <w:tcPr/>
          <w:p>
            <w:pPr>
              <w:pStyle w:val="Compact"/>
            </w:pPr>
            <w:r>
              <w:t xml:space="preserve">Frequency Range</w:t>
            </w:r>
          </w:p>
        </w:tc>
        <w:tc>
          <w:tcPr/>
          <w:p>
            <w:pPr>
              <w:pStyle w:val="Compact"/>
            </w:pPr>
            <w:r>
              <w:t xml:space="preserve">The receiver shall operate over the 18-40 GHz frequency range supporting all specified radar bands.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REQ-HW-002</w:t>
            </w:r>
          </w:p>
        </w:tc>
        <w:tc>
          <w:tcPr/>
          <w:p>
            <w:pPr>
              <w:pStyle w:val="Compact"/>
            </w:pPr>
            <w:r>
              <w:t xml:space="preserve">Instantaneous Bandwidth</w:t>
            </w:r>
          </w:p>
        </w:tc>
        <w:tc>
          <w:tcPr/>
          <w:p>
            <w:pPr>
              <w:pStyle w:val="Compact"/>
            </w:pPr>
            <w:r>
              <w:t xml:space="preserve">The receiver shall support a tunable instantaneous bandwidth of 100-500 MHz across the operating frequency range.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REQ-HW-003</w:t>
            </w:r>
          </w:p>
        </w:tc>
        <w:tc>
          <w:tcPr/>
          <w:p>
            <w:pPr>
              <w:pStyle w:val="Compact"/>
            </w:pPr>
            <w:r>
              <w:t xml:space="preserve">System Noise Figure</w:t>
            </w:r>
          </w:p>
        </w:tc>
        <w:tc>
          <w:tcPr/>
          <w:p>
            <w:pPr>
              <w:pStyle w:val="Compact"/>
            </w:pPr>
            <w:r>
              <w:t xml:space="preserve">The cascaded system noise figure shall not exceed 8 dB typical, 10 dB maximum across all channels and frequencies.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REQ-HW-004</w:t>
            </w:r>
          </w:p>
        </w:tc>
        <w:tc>
          <w:tcPr/>
          <w:p>
            <w:pPr>
              <w:pStyle w:val="Compact"/>
            </w:pPr>
            <w:r>
              <w:t xml:space="preserve">Total System Gain</w:t>
            </w:r>
          </w:p>
        </w:tc>
        <w:tc>
          <w:tcPr/>
          <w:p>
            <w:pPr>
              <w:pStyle w:val="Compact"/>
            </w:pPr>
            <w:r>
              <w:t xml:space="preserve">The cascaded gain shall be greater than 60 dB, target 65 dB nominal, with VGA/AGC providing at least 30 dB dynamic range adjustment.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REQ-HW-005</w:t>
            </w:r>
          </w:p>
        </w:tc>
        <w:tc>
          <w:tcPr/>
          <w:p>
            <w:pPr>
              <w:pStyle w:val="Compact"/>
            </w:pPr>
            <w:r>
              <w:t xml:space="preserve">IIP3 Linearity</w:t>
            </w:r>
          </w:p>
        </w:tc>
        <w:tc>
          <w:tcPr/>
          <w:p>
            <w:pPr>
              <w:pStyle w:val="Compact"/>
            </w:pPr>
            <w:r>
              <w:t xml:space="preserve">The system input-referred third-order intercept point (IIP3) shall be at least +20 dBm under nominal gain conditions.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REQ-HW-006</w:t>
            </w:r>
          </w:p>
        </w:tc>
        <w:tc>
          <w:tcPr/>
          <w:p>
            <w:pPr>
              <w:pStyle w:val="Compact"/>
            </w:pPr>
            <w:r>
              <w:t xml:space="preserve">Output P1dB</w:t>
            </w:r>
          </w:p>
        </w:tc>
        <w:tc>
          <w:tcPr/>
          <w:p>
            <w:pPr>
              <w:pStyle w:val="Compact"/>
            </w:pPr>
            <w:r>
              <w:t xml:space="preserve">The output 1 dB compression point shall be at least +10 dBm at the final IF output before the ADC.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REQ-HW-007</w:t>
            </w:r>
          </w:p>
        </w:tc>
        <w:tc>
          <w:tcPr/>
          <w:p>
            <w:pPr>
              <w:pStyle w:val="Compact"/>
            </w:pPr>
            <w:r>
              <w:t xml:space="preserve">SFDR</w:t>
            </w:r>
          </w:p>
        </w:tc>
        <w:tc>
          <w:tcPr/>
          <w:p>
            <w:pPr>
              <w:pStyle w:val="Compact"/>
            </w:pPr>
            <w:r>
              <w:t xml:space="preserve">The spurious-free dynamic range (two-tone, IIP3-driven) shall be at least 80 dB at the ADC output.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REQ-HW-008</w:t>
            </w:r>
          </w:p>
        </w:tc>
        <w:tc>
          <w:tcPr/>
          <w:p>
            <w:pPr>
              <w:pStyle w:val="Compact"/>
            </w:pPr>
            <w:r>
              <w:t xml:space="preserve">Selectivity</w:t>
            </w:r>
          </w:p>
        </w:tc>
        <w:tc>
          <w:tcPr/>
          <w:p>
            <w:pPr>
              <w:pStyle w:val="Compact"/>
            </w:pPr>
            <w:r>
              <w:t xml:space="preserve">Adjacent-channel rejection shall be at least 60 dBc achieved through double-IF filtering and final IF bandpass.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REQ-HW-009</w:t>
            </w:r>
          </w:p>
        </w:tc>
        <w:tc>
          <w:tcPr/>
          <w:p>
            <w:pPr>
              <w:pStyle w:val="Compact"/>
            </w:pPr>
            <w:r>
              <w:t xml:space="preserve">Minimum Detectable Signal</w:t>
            </w:r>
          </w:p>
        </w:tc>
        <w:tc>
          <w:tcPr/>
          <w:p>
            <w:pPr>
              <w:pStyle w:val="Compact"/>
            </w:pPr>
            <w:r>
              <w:t xml:space="preserve">The system MDS shall be at least -81.2 dBm (derived from Friis calculation with 8 dB NF, 500 MHz IBW).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REQ-HW-010</w:t>
            </w:r>
          </w:p>
        </w:tc>
        <w:tc>
          <w:tcPr/>
          <w:p>
            <w:pPr>
              <w:pStyle w:val="Compact"/>
            </w:pPr>
            <w:r>
              <w:t xml:space="preserve">Input Survivability</w:t>
            </w:r>
          </w:p>
        </w:tc>
        <w:tc>
          <w:tcPr/>
          <w:p>
            <w:pPr>
              <w:pStyle w:val="Compact"/>
            </w:pPr>
            <w:r>
              <w:t xml:space="preserve">The receiver front-end shall survive a +20 dBm CW or pulsed input without damage. Limiter protection required.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REQ-HW-011</w:t>
            </w:r>
          </w:p>
        </w:tc>
        <w:tc>
          <w:tcPr/>
          <w:p>
            <w:pPr>
              <w:pStyle w:val="Compact"/>
            </w:pPr>
            <w:r>
              <w:t xml:space="preserve">Input Return Loss / VSWR</w:t>
            </w:r>
          </w:p>
        </w:tc>
        <w:tc>
          <w:tcPr/>
          <w:p>
            <w:pPr>
              <w:pStyle w:val="Compact"/>
            </w:pPr>
            <w:r>
              <w:t xml:space="preserve">The RF input return loss shall be better than -10 dB (VSWR &lt; 2:1) across the full 18-40 GHz range.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REQ-HW-012</w:t>
            </w:r>
          </w:p>
        </w:tc>
        <w:tc>
          <w:tcPr/>
          <w:p>
            <w:pPr>
              <w:pStyle w:val="Compact"/>
            </w:pPr>
            <w:r>
              <w:t xml:space="preserve">LO Phase Noise</w:t>
            </w:r>
          </w:p>
        </w:tc>
        <w:tc>
          <w:tcPr/>
          <w:p>
            <w:pPr>
              <w:pStyle w:val="Compact"/>
            </w:pPr>
            <w:r>
              <w:t xml:space="preserve">The LO phase noise shall be better than -120 dBc/Hz at 10 kHz offset from carrier, using OCXO-referenced PLL synthesizers.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REQ-HW-013</w:t>
            </w:r>
          </w:p>
        </w:tc>
        <w:tc>
          <w:tcPr/>
          <w:p>
            <w:pPr>
              <w:pStyle w:val="Compact"/>
            </w:pPr>
            <w:r>
              <w:t xml:space="preserve">Phase Coherence</w:t>
            </w:r>
          </w:p>
        </w:tc>
        <w:tc>
          <w:tcPr/>
          <w:p>
            <w:pPr>
              <w:pStyle w:val="Compact"/>
            </w:pPr>
            <w:r>
              <w:t xml:space="preserve">All 4 channels shall maintain phase coherence for coherent pulse processing. LO distribution skew &lt; 1 ps between channels.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REQ-HW-014</w:t>
            </w:r>
          </w:p>
        </w:tc>
        <w:tc>
          <w:tcPr/>
          <w:p>
            <w:pPr>
              <w:pStyle w:val="Compact"/>
            </w:pPr>
            <w:r>
              <w:t xml:space="preserve">T/R Switching Time</w:t>
            </w:r>
          </w:p>
        </w:tc>
        <w:tc>
          <w:tcPr/>
          <w:p>
            <w:pPr>
              <w:pStyle w:val="Compact"/>
            </w:pPr>
            <w:r>
              <w:t xml:space="preserve">Transmit/receive switching time shall be less than 1 microsecond for monostatic radar operation.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2"/>
    <w:bookmarkStart w:id="13" w:name="functional-requirements"/>
    <w:p>
      <w:pPr>
        <w:pStyle w:val="Heading3"/>
      </w:pPr>
      <w:r>
        <w:t xml:space="preserve">3.2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REQ-HW-015</w:t>
            </w:r>
          </w:p>
        </w:tc>
        <w:tc>
          <w:tcPr/>
          <w:p>
            <w:pPr>
              <w:pStyle w:val="Compact"/>
            </w:pPr>
            <w:r>
              <w:t xml:space="preserve">4-Channel Architecture</w:t>
            </w:r>
          </w:p>
        </w:tc>
        <w:tc>
          <w:tcPr/>
          <w:p>
            <w:pPr>
              <w:pStyle w:val="Compact"/>
            </w:pPr>
            <w:r>
              <w:t xml:space="preserve">The receiver shall implement 4 independent RF channels, each with dedicated front-end (limiter, preselector, LNA) and dual downconversion chain.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REQ-HW-016</w:t>
            </w:r>
          </w:p>
        </w:tc>
        <w:tc>
          <w:tcPr/>
          <w:p>
            <w:pPr>
              <w:pStyle w:val="Compact"/>
            </w:pPr>
            <w:r>
              <w:t xml:space="preserve">Double-IF Superheterodyne Conversion</w:t>
            </w:r>
          </w:p>
        </w:tc>
        <w:tc>
          <w:tcPr/>
          <w:p>
            <w:pPr>
              <w:pStyle w:val="Compact"/>
            </w:pPr>
            <w:r>
              <w:t xml:space="preserve">Each channel shall implement dual downconversion: RF to IF1 (approx 4 GHz) and IF1 to IF2 (approx 500 MHz) for image rejection and selectivity.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REQ-HW-017</w:t>
            </w:r>
          </w:p>
        </w:tc>
        <w:tc>
          <w:tcPr/>
          <w:p>
            <w:pPr>
              <w:pStyle w:val="Compact"/>
            </w:pPr>
            <w:r>
              <w:t xml:space="preserve">ADC Digitisation</w:t>
            </w:r>
          </w:p>
        </w:tc>
        <w:tc>
          <w:tcPr/>
          <w:p>
            <w:pPr>
              <w:pStyle w:val="Compact"/>
            </w:pPr>
            <w:r>
              <w:t xml:space="preserve">Each channel shall digitise the final IF using a 16-bit ADC at 210 Msps (LTC2107) with LVDS interface to the FPGA.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REQ-HW-018</w:t>
            </w:r>
          </w:p>
        </w:tc>
        <w:tc>
          <w:tcPr/>
          <w:p>
            <w:pPr>
              <w:pStyle w:val="Compact"/>
            </w:pPr>
            <w:r>
              <w:t xml:space="preserve">FPGA Digital Processing</w:t>
            </w:r>
          </w:p>
        </w:tc>
        <w:tc>
          <w:tcPr/>
          <w:p>
            <w:pPr>
              <w:pStyle w:val="Compact"/>
            </w:pPr>
            <w:r>
              <w:t xml:space="preserve">A Xilinx Kintex-7 (XC7K355T) FPGA shall perform digital downconversion, pulse compression, and coherent processing for all 4 channels simultaneously.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REQ-HW-019</w:t>
            </w:r>
          </w:p>
        </w:tc>
        <w:tc>
          <w:tcPr/>
          <w:p>
            <w:pPr>
              <w:pStyle w:val="Compact"/>
            </w:pPr>
            <w:r>
              <w:t xml:space="preserve">Radar Pulse Processing</w:t>
            </w:r>
          </w:p>
        </w:tc>
        <w:tc>
          <w:tcPr/>
          <w:p>
            <w:pPr>
              <w:pStyle w:val="Compact"/>
            </w:pPr>
            <w:r>
              <w:t xml:space="preserve">The system shall support pulse widths from 100 ns to 1 us with staggered PRF and achieve range resolution of 1-10 m.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REQ-HW-028</w:t>
            </w:r>
          </w:p>
        </w:tc>
        <w:tc>
          <w:tcPr/>
          <w:p>
            <w:pPr>
              <w:pStyle w:val="Compact"/>
            </w:pPr>
            <w:r>
              <w:t xml:space="preserve">VGA/AGC Gain Control</w:t>
            </w:r>
          </w:p>
        </w:tc>
        <w:tc>
          <w:tcPr/>
          <w:p>
            <w:pPr>
              <w:pStyle w:val="Compact"/>
            </w:pPr>
            <w:r>
              <w:t xml:space="preserve">A voltage-variable attenuator (TGL2767) shall provide AGC range to maintain ADC input within the linear region for varying signal levels.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3"/>
    <w:bookmarkStart w:id="14" w:name="interface-requirements"/>
    <w:p>
      <w:pPr>
        <w:pStyle w:val="Heading3"/>
      </w:pPr>
      <w:r>
        <w:t xml:space="preserve">3.3 Interface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REQ-HW-020</w:t>
            </w:r>
          </w:p>
        </w:tc>
        <w:tc>
          <w:tcPr/>
          <w:p>
            <w:pPr>
              <w:pStyle w:val="Compact"/>
            </w:pPr>
            <w:r>
              <w:t xml:space="preserve">Data Output Interface</w:t>
            </w:r>
          </w:p>
        </w:tc>
        <w:tc>
          <w:tcPr/>
          <w:p>
            <w:pPr>
              <w:pStyle w:val="Compact"/>
            </w:pPr>
            <w:r>
              <w:t xml:space="preserve">Digitised data shall be output via LVDS interface from the FPGA to the downstream signal processor.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4"/>
    <w:bookmarkStart w:id="15" w:name="environmental-requirements"/>
    <w:p>
      <w:pPr>
        <w:pStyle w:val="Heading3"/>
      </w:pPr>
      <w:r>
        <w:t xml:space="preserve">3.4 Environmental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REQ-HW-021</w:t>
            </w:r>
          </w:p>
        </w:tc>
        <w:tc>
          <w:tcPr/>
          <w:p>
            <w:pPr>
              <w:pStyle w:val="Compact"/>
            </w:pPr>
            <w:r>
              <w:t xml:space="preserve">Operating Temperature Range</w:t>
            </w:r>
          </w:p>
        </w:tc>
        <w:tc>
          <w:tcPr/>
          <w:p>
            <w:pPr>
              <w:pStyle w:val="Compact"/>
            </w:pPr>
            <w:r>
              <w:t xml:space="preserve">The receiver shall operate over -55 to +125 degC (military temperature class). All active components must be rated for this range.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REQ-HW-022</w:t>
            </w:r>
          </w:p>
        </w:tc>
        <w:tc>
          <w:tcPr/>
          <w:p>
            <w:pPr>
              <w:pStyle w:val="Compact"/>
            </w:pPr>
            <w:r>
              <w:t xml:space="preserve">Vibration and Shock</w:t>
            </w:r>
          </w:p>
        </w:tc>
        <w:tc>
          <w:tcPr/>
          <w:p>
            <w:pPr>
              <w:pStyle w:val="Compact"/>
            </w:pPr>
            <w:r>
              <w:t xml:space="preserve">The receiver shall meet MIL-STD-810 heavy vibration and shock requirements. All RF modules shall use cavity shielding and mechanical retention.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REQ-HW-023</w:t>
            </w:r>
          </w:p>
        </w:tc>
        <w:tc>
          <w:tcPr/>
          <w:p>
            <w:pPr>
              <w:pStyle w:val="Compact"/>
            </w:pPr>
            <w:r>
              <w:t xml:space="preserve">Ingress Protection</w:t>
            </w:r>
          </w:p>
        </w:tc>
        <w:tc>
          <w:tcPr/>
          <w:p>
            <w:pPr>
              <w:pStyle w:val="Compact"/>
            </w:pPr>
            <w:r>
              <w:t xml:space="preserve">The receiver enclosure shall be rated IP68 for dust and water ingress protection.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5"/>
    <w:bookmarkStart w:id="16" w:name="constraint-requirements"/>
    <w:p>
      <w:pPr>
        <w:pStyle w:val="Heading3"/>
      </w:pPr>
      <w:r>
        <w:t xml:space="preserve">3.5 Constraint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REQ-HW-024</w:t>
            </w:r>
          </w:p>
        </w:tc>
        <w:tc>
          <w:tcPr/>
          <w:p>
            <w:pPr>
              <w:pStyle w:val="Compact"/>
            </w:pPr>
            <w:r>
              <w:t xml:space="preserve">Power Consumption</w:t>
            </w:r>
          </w:p>
        </w:tc>
        <w:tc>
          <w:tcPr/>
          <w:p>
            <w:pPr>
              <w:pStyle w:val="Compact"/>
            </w:pPr>
            <w:r>
              <w:t xml:space="preserve">Total system DC power consumption shall not exceed 25 W from the +15 V primary supply rail.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REQ-HW-025</w:t>
            </w:r>
          </w:p>
        </w:tc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The primary supply rail is +15 VDC. Internal LDO regulation shall generate all required sub-rails (5V, 3.3V) with low-noise LC/ferrite decoupling per stage.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REQ-HW-026</w:t>
            </w:r>
          </w:p>
        </w:tc>
        <w:tc>
          <w:tcPr/>
          <w:p>
            <w:pPr>
              <w:pStyle w:val="Compact"/>
            </w:pPr>
            <w:r>
              <w:t xml:space="preserve">High-Gain Stability Mitigation</w:t>
            </w:r>
          </w:p>
        </w:tc>
        <w:tc>
          <w:tcPr/>
          <w:p>
            <w:pPr>
              <w:pStyle w:val="Compact"/>
            </w:pPr>
            <w:r>
              <w:t xml:space="preserve">With cascaded gain &gt;60 dB, each major stage group shall reside in separate shielded cavities with isolated LC/ferrite-decoupled supply rails and reverse-orientation input/output routing to prevent oscillation.</w:t>
            </w:r>
          </w:p>
        </w:tc>
        <w:tc>
          <w:tcPr/>
          <w:p>
            <w:pPr>
              <w:pStyle w:val="Compact"/>
            </w:pPr>
            <w:r>
              <w:t xml:space="preserve">shall</w:t>
            </w:r>
          </w:p>
        </w:tc>
        <w:tc>
          <w:tcPr/>
          <w:p>
            <w:pPr>
              <w:pStyle w:val="Compact"/>
            </w:pPr>
            <w:r>
              <w:t xml:space="preserve">inspection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REQ-HW-027</w:t>
            </w:r>
          </w:p>
        </w:tc>
        <w:tc>
          <w:tcPr/>
          <w:p>
            <w:pPr>
              <w:pStyle w:val="Compact"/>
            </w:pPr>
            <w:r>
              <w:t xml:space="preserve">Nyquist Anti-Aliasing</w:t>
            </w:r>
          </w:p>
        </w:tc>
        <w:tc>
          <w:tcPr/>
          <w:p>
            <w:pPr>
              <w:pStyle w:val="Compact"/>
            </w:pPr>
            <w:r>
              <w:t xml:space="preserve">With ADC at 210 Msps and IBW up to 500 MHz, the final IF BPF shall provide &gt;60 dBc rejection at the Nyquist foldover frequency to prevent aliasing. Alternatively, implement sub-band channelisation.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2026-04-26T05:12:48Z</dcterms:created>
  <dcterms:modified xsi:type="dcterms:W3CDTF">2026-04-26T05:12:48Z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