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Sathyadevi Murugesan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06060"/>
          <w:sz w:val="21"/>
          <w:szCs w:val="21"/>
        </w:rPr>
        <w:t xml:space="preserve">[Add phone] | [Add email] | [Add LinkedIn]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06060"/>
          <w:sz w:val="21"/>
          <w:szCs w:val="21"/>
        </w:rPr>
        <w:t xml:space="preserve">Laboratory Technician I | Rapid Novor</w:t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Research-trained laboratory professional with experience in regulated testing environments, academic research methods, scientific documentation, and peer-reviewed publication activity. Background includes mutagenicity testing, HPLC exposure, molecular biology techniques, and controlled laboratory workflows.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QUALIFICATIONS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Academic research background including HPLC exposure, RT-PCR, immunoblotting, enzymatic assays, and manuscript writing.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Peer-reviewed publication experience for research-oriented roles.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Graduate Certificate in Applied Clinical Research with coursework in research ethics, clinical trial design, clinical trial management, and clinical research principles.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Good Clinical Practice, research ethics, and regulatory compliance training.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Worked in compliance with infection control practices and laboratory SOPs.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10" w:before="2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Biological Activity Technologist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Labstat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color w:val="606060"/>
          <w:sz w:val="24"/>
          <w:szCs w:val="24"/>
        </w:rPr>
        <w:t xml:space="preserve">Sep 2021 - Feb 2022</w:t>
      </w:r>
    </w:p>
    <w:p>
      <w:pPr>
        <w:spacing w:after="20" w:before="0" w:line="240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Kitchener, 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Performed mutagenicity and genotoxicity testing, including Ames assay work, in a GLP-regulated laboratory environment.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Prepared reagents and maintained laboratory documentation in accordance with established procedures.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Assisted with equipment verification and supported laboratory quality standards.</w:t>
      </w:r>
    </w:p>
    <w:p>
      <w:pPr>
        <w:tabs>
          <w:tab w:val="right" w:pos="9026"/>
        </w:tabs>
        <w:spacing w:after="10" w:before="14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Laboratory Assistant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Dynacare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color w:val="606060"/>
          <w:sz w:val="24"/>
          <w:szCs w:val="24"/>
        </w:rPr>
        <w:t xml:space="preserve">Oct 2023 - Present</w:t>
      </w:r>
    </w:p>
    <w:p>
      <w:pPr>
        <w:spacing w:after="20" w:before="0" w:line="240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Kitchener, 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 phlebotomy and ECG tracing in a regulated diagnostic environment.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Complete specimen accessioning and processing, including preparation for transport.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Enter patient demographic and requisition information with attention to laboratory documentation requirements.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 in compliance with infection control practices and laboratory SOPs.</w:t>
      </w:r>
    </w:p>
    <w:p>
      <w:pPr>
        <w:tabs>
          <w:tab w:val="right" w:pos="9026"/>
        </w:tabs>
        <w:spacing w:after="10" w:before="14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Lab Patient Technician</w:t>
      </w:r>
      <w:r>
        <w:rPr>
          <w:rFonts w:ascii="Calibri" w:cs="Calibri" w:eastAsia="Calibri" w:hAnsi="Calibri"/>
          <w:sz w:val="24"/>
          <w:szCs w:val="24"/>
        </w:rPr>
        <w:t xml:space="preserve"> |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Lifelabs</w:t>
      </w:r>
      <w:r>
        <w:rPr>
          <w:rFonts w:ascii="Calibri" w:cs="Calibri" w:eastAsia="Calibri" w:hAnsi="Calibri"/>
          <w:sz w:val="24"/>
          <w:szCs w:val="24"/>
        </w:rPr>
        <w:t xml:space="preserve">	</w:t>
      </w:r>
      <w:r>
        <w:rPr>
          <w:rFonts w:ascii="Calibri" w:cs="Calibri" w:eastAsia="Calibri" w:hAnsi="Calibri"/>
          <w:color w:val="606060"/>
          <w:sz w:val="24"/>
          <w:szCs w:val="24"/>
        </w:rPr>
        <w:t xml:space="preserve">Nov 2020 - Sep 2021</w:t>
      </w:r>
    </w:p>
    <w:p>
      <w:pPr>
        <w:spacing w:after="20" w:before="0" w:line="240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Brampton, 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Performed venipuncture and capillary collection while explaining procedures to patients.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Completed specimen labeling and preparation in support of laboratory workflows.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Worked in compliance with infection control practices and documentation requirements.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Collaborated with the healthcare team to support patient service and specimen handling.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RESEARCH EXPERIENCE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Ph.D. research included HPLC analysis, molecular docking, immunoblotting, RT-PCR, histological and ultrastructural studies, enzymatic assays, lipid profile analysis, oxidative stress evaluation, and scientific manuscript writing.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M.Phil. research included Rhizobium strain mutation studies, IAA production analysis, microbial isolation, and plant growth studies.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M.Sc. research included bioethanol production, fermentation processes, microbial identification, and environmental impact analysis.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PUBLICATIONS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Physalis peruviana - insulin sensitivity study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Flavonoid extraction &amp; characterization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Oxidative stress in diabetic models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Aldose reductase inhibitors (in silico study)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Graduate Certificate in Applied Clinical Research (2024 - 2025)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McMaster University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Coursework: Research Ethics, Clinical Trial Design, Principles of Clinical Research, Clinical Trial Management, and Clinical Research Capstone.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Diploma in Medical Laboratory Technician (2019 - 2020)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Medix College of Healthcare, Canada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Ph.D. in Microbiology-Biochemistry (Interdisciplinary) (2012 - 2016)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University of Madras, India (WES: Equivalent to Canadian Ph.D.)</w:t>
      </w:r>
    </w:p>
    <w:p>
      <w:pPr>
        <w:spacing w:after="10" w:before="0" w:lin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M.Phil. and M.Sc. in Microbiology (2008 - 2011)</w:t>
      </w:r>
    </w:p>
    <w:p>
      <w:pPr>
        <w:spacing w:after="20" w:before="0" w:line="240"/>
      </w:pPr>
      <w:r>
        <w:rPr>
          <w:rFonts w:ascii="Calibri" w:cs="Calibri" w:eastAsia="Calibri" w:hAnsi="Calibri"/>
          <w:sz w:val="24"/>
          <w:szCs w:val="24"/>
        </w:rPr>
        <w:t xml:space="preserve">Mother Theresa Women's University, India (WES: Equivalent to Canadian Master's Degree)</w:t>
      </w:r>
    </w:p>
    <w:p>
      <w:pPr>
        <w:spacing w:after="40" w:before="0" w:line="24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Bdr>
          <w:bottom w:val="single" w:color="D0D0D0" w:sz="4"/>
        </w:pBdr>
        <w:spacing w:after="60" w:before="180" w:lin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 AND TRAININGS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Certified under the Medical Laboratory Professionals' Association of Ontario (MLPAO)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Good Clinical Practice (GCP) Training Certification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Research Ethics &amp; Data Integrity Training</w:t>
      </w:r>
    </w:p>
    <w:p>
      <w:pPr>
        <w:spacing w:after="20" w:before="0" w:line="240"/>
        <w:ind w:left="360" w:hanging="240"/>
      </w:pPr>
      <w:r>
        <w:rPr>
          <w:rFonts w:ascii="Calibri" w:cs="Calibri" w:eastAsia="Calibri" w:hAnsi="Calibri"/>
          <w:sz w:val="24"/>
          <w:szCs w:val="24"/>
        </w:rPr>
        <w:t xml:space="preserve">• </w:t>
      </w:r>
      <w:r>
        <w:rPr>
          <w:rFonts w:ascii="Calibri" w:cs="Calibri" w:eastAsia="Calibri" w:hAnsi="Calibri"/>
          <w:sz w:val="24"/>
          <w:szCs w:val="24"/>
        </w:rPr>
        <w:t xml:space="preserve">Health Canada and FDA Regulatory Compliance Training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2026-04-01T10:59:59.124Z</dcterms:created>
  <dcterms:modified xsi:type="dcterms:W3CDTF">2026-04-01T10:59:59.124Z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