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Sathyadevi Murugesan</w:t>
      </w:r>
    </w:p>
    <w:p>
      <w:pPr>
        <w:spacing w:after="80" w:before="0" w:line="2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[Add phone] | [Add email] | [Add LinkedIn]</w:t>
      </w:r>
    </w:p>
    <w:p>
      <w:pPr>
        <w:spacing w:after="120" w:before="0" w:line="2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Laboratory Technician I | Rapid Novor</w:t>
      </w:r>
    </w:p>
    <w:p>
      <w:pPr>
        <w:pBdr>
          <w:bottom w:val="single" w:color="B5B5B5" w:sz="4"/>
        </w:pBdr>
        <w:spacing w:after="80" w:before="16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pPr>
        <w:spacing w:after="0" w:before="0" w:line="240"/>
      </w:pPr>
      <w:r>
        <w:rPr>
          <w:rFonts w:ascii="Calibri" w:cs="Calibri" w:eastAsia="Calibri" w:hAnsi="Calibri"/>
          <w:sz w:val="24"/>
          <w:szCs w:val="24"/>
        </w:rPr>
        <w:t xml:space="preserve">Research-trained laboratory professional with experience in regulated testing environments, academic research methods, scientific documentation, and peer-reviewed publication activity. Background includes mutagenicity testing, HPLC exposure, molecular biology techniques, and controlled laboratory workflows.</w:t>
      </w:r>
    </w:p>
    <w:p>
      <w:pPr>
        <w:spacing w:after="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B5B5B5" w:sz="4"/>
        </w:pBdr>
        <w:spacing w:after="80" w:before="16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QUALIFICATIONS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Academic research background including HPLC exposure, RT-PCR, immunoblotting, enzymatic assays, and manuscript writing.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Peer-reviewed publication experience for research-oriented roles.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Graduate Certificate in Applied Clinical Research with coursework in research ethics, clinical trial design, clinical trial management, and clinical research principles.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Good Clinical Practice, research ethics, and regulatory compliance training.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Worked in compliance with infection control practices and laboratory SOPs.</w:t>
      </w:r>
    </w:p>
    <w:p>
      <w:pPr>
        <w:spacing w:after="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B5B5B5" w:sz="4"/>
        </w:pBdr>
        <w:spacing w:after="80" w:before="16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EXPERIENCE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Biological Activity Technologist</w:t>
      </w:r>
      <w:r>
        <w:rPr>
          <w:rFonts w:ascii="Calibri" w:cs="Calibri" w:eastAsia="Calibri" w:hAnsi="Calibri"/>
          <w:sz w:val="24"/>
          <w:szCs w:val="24"/>
        </w:rPr>
        <w:t xml:space="preserve"> |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Labstat</w:t>
      </w:r>
      <w:r>
        <w:rPr>
          <w:rFonts w:ascii="Calibri" w:cs="Calibri" w:eastAsia="Calibri" w:hAnsi="Calibri"/>
          <w:sz w:val="24"/>
          <w:szCs w:val="24"/>
        </w:rPr>
        <w:t xml:space="preserve"> | Kitchener, ON | Sep 2021 - Feb 2022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Performed mutagenicity and genotoxicity testing, including Ames assay work, in a GLP-regulated laboratory environment.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Prepared reagents and maintained laboratory documentation in accordance with established procedures.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Assisted with equipment verification and supported laboratory quality standards.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Contributed to regulated testing workflows requiring accurate records and controlled processes.</w:t>
      </w:r>
    </w:p>
    <w:p>
      <w:pPr>
        <w:spacing w:after="0" w:before="12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Laboratory Assistant</w:t>
      </w:r>
      <w:r>
        <w:rPr>
          <w:rFonts w:ascii="Calibri" w:cs="Calibri" w:eastAsia="Calibri" w:hAnsi="Calibri"/>
          <w:sz w:val="24"/>
          <w:szCs w:val="24"/>
        </w:rPr>
        <w:t xml:space="preserve"> |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Dynacare</w:t>
      </w:r>
      <w:r>
        <w:rPr>
          <w:rFonts w:ascii="Calibri" w:cs="Calibri" w:eastAsia="Calibri" w:hAnsi="Calibri"/>
          <w:sz w:val="24"/>
          <w:szCs w:val="24"/>
        </w:rPr>
        <w:t xml:space="preserve"> | Kitchener, ON | Oct 2023 - Present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Perform phlebotomy and ECG tracing in a regulated diagnostic environment.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Complete specimen accessioning and processing, including preparation for transport.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Enter patient demographic and requisition information with attention to laboratory documentation requirements.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Work in compliance with infection control practices and laboratory SOPs.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Collaborate with healthcare staff to support specimen handling and patient service workflows.</w:t>
      </w:r>
    </w:p>
    <w:p>
      <w:pPr>
        <w:spacing w:after="0" w:before="12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Lab Patient Technician</w:t>
      </w:r>
      <w:r>
        <w:rPr>
          <w:rFonts w:ascii="Calibri" w:cs="Calibri" w:eastAsia="Calibri" w:hAnsi="Calibri"/>
          <w:sz w:val="24"/>
          <w:szCs w:val="24"/>
        </w:rPr>
        <w:t xml:space="preserve"> |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Lifelabs</w:t>
      </w:r>
      <w:r>
        <w:rPr>
          <w:rFonts w:ascii="Calibri" w:cs="Calibri" w:eastAsia="Calibri" w:hAnsi="Calibri"/>
          <w:sz w:val="24"/>
          <w:szCs w:val="24"/>
        </w:rPr>
        <w:t xml:space="preserve"> | Brampton, ON | Nov 2020 - Sep 2021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Performed venipuncture and capillary collection while explaining procedures to patients.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Completed specimen labeling and preparation in support of laboratory workflows.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Worked in compliance with infection control practices and documentation requirements.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Collaborated with the healthcare team to support patient service and specimen handling.</w:t>
      </w:r>
    </w:p>
    <w:p>
      <w:pPr>
        <w:spacing w:after="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B5B5B5" w:sz="4"/>
        </w:pBdr>
        <w:spacing w:after="80" w:before="16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RESEARCH EXPERIENCE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Ph.D. research included HPLC analysis, molecular docking, immunoblotting, RT-PCR, histological and ultrastructural studies, enzymatic assays, lipid profile analysis, oxidative stress evaluation, and scientific manuscript writing.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M.Phil. research included Rhizobium strain mutation studies, IAA production analysis, microbial isolation, and plant growth studies.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M.Sc. research included bioethanol production, fermentation processes, microbial identification, and environmental impact analysis.</w:t>
      </w:r>
    </w:p>
    <w:p>
      <w:pPr>
        <w:spacing w:after="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B5B5B5" w:sz="4"/>
        </w:pBdr>
        <w:spacing w:after="80" w:before="16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SELECTED PUBLICATIONS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Physalis peruviana - insulin sensitivity study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Flavonoid extraction &amp; characterization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Oxidative stress in diabetic models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Aldose reductase inhibitors (in silico study)</w:t>
      </w:r>
    </w:p>
    <w:p>
      <w:pPr>
        <w:spacing w:after="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B5B5B5" w:sz="4"/>
        </w:pBdr>
        <w:spacing w:after="80" w:before="16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Graduate Certificate in Applied Clinical Research (2024 - 2025)</w:t>
      </w:r>
    </w:p>
    <w:p>
      <w:pPr>
        <w:spacing w:after="0" w:before="0" w:line="240"/>
      </w:pPr>
      <w:r>
        <w:rPr>
          <w:rFonts w:ascii="Calibri" w:cs="Calibri" w:eastAsia="Calibri" w:hAnsi="Calibri"/>
          <w:sz w:val="24"/>
          <w:szCs w:val="24"/>
        </w:rPr>
        <w:t xml:space="preserve">McMaster University</w:t>
      </w:r>
    </w:p>
    <w:p>
      <w:pPr>
        <w:spacing w:after="0" w:before="0" w:line="240"/>
      </w:pPr>
      <w:r>
        <w:rPr>
          <w:rFonts w:ascii="Calibri" w:cs="Calibri" w:eastAsia="Calibri" w:hAnsi="Calibri"/>
          <w:sz w:val="24"/>
          <w:szCs w:val="24"/>
        </w:rPr>
        <w:t xml:space="preserve">Coursework: Research Ethics, Clinical Trial Design, Principles of Clinical Research, Clinical Trial Management, and Clinical Research Capstone.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Diploma in Medical Laboratory Technician (2019 - 2020)</w:t>
      </w:r>
    </w:p>
    <w:p>
      <w:pPr>
        <w:spacing w:after="0" w:before="0" w:line="240"/>
      </w:pPr>
      <w:r>
        <w:rPr>
          <w:rFonts w:ascii="Calibri" w:cs="Calibri" w:eastAsia="Calibri" w:hAnsi="Calibri"/>
          <w:sz w:val="24"/>
          <w:szCs w:val="24"/>
        </w:rPr>
        <w:t xml:space="preserve">Medix College of Healthcare, Canada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Ph.D. in Microbiology-Biochemistry (Interdisciplinary) (2012 - 2016)</w:t>
      </w:r>
    </w:p>
    <w:p>
      <w:pPr>
        <w:spacing w:after="0" w:before="0" w:line="240"/>
      </w:pPr>
      <w:r>
        <w:rPr>
          <w:rFonts w:ascii="Calibri" w:cs="Calibri" w:eastAsia="Calibri" w:hAnsi="Calibri"/>
          <w:sz w:val="24"/>
          <w:szCs w:val="24"/>
        </w:rPr>
        <w:t xml:space="preserve">University of Madras, India (WES: Equivalent to Canadian Ph.D.)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M.Phil. and M.Sc. in Microbiology (2008 - 2011)</w:t>
      </w:r>
    </w:p>
    <w:p>
      <w:pPr>
        <w:spacing w:after="0" w:before="0" w:line="240"/>
      </w:pPr>
      <w:r>
        <w:rPr>
          <w:rFonts w:ascii="Calibri" w:cs="Calibri" w:eastAsia="Calibri" w:hAnsi="Calibri"/>
          <w:sz w:val="24"/>
          <w:szCs w:val="24"/>
        </w:rPr>
        <w:t xml:space="preserve">Mother Theresa Women's University, India (WES: Equivalent to Canadian Master's Degree)</w:t>
      </w:r>
    </w:p>
    <w:p>
      <w:pPr>
        <w:spacing w:after="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B5B5B5" w:sz="4"/>
        </w:pBdr>
        <w:spacing w:after="80" w:before="16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 AND TRAININGS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Certified under the Medical Laboratory Professionals' Association of Ontario (MLPAO)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Good Clinical Practice (GCP) Training Certification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Research Ethics &amp; Data Integrity Training</w:t>
      </w:r>
    </w:p>
    <w:p>
      <w:pPr>
        <w:spacing w:after="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Health Canada and FDA Regulatory Compliance Training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2026-03-31T16:14:11.041Z</dcterms:created>
  <dcterms:modified xsi:type="dcterms:W3CDTF">2026-03-31T16:14:11.041Z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