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Requirements Framework for an Integrated Intelligent Underwriting Workbench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insurance landscape in 2026 is defined by a paradigm shift from legacy, process-centric administration to an "Intelligent Insurance" operating model where data orchestration and cognitive automation serve as the primary drivers of competitive advantage.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an organization to construct an in-house underwriting workbench that effectively rivals and eventually surpasses incumbents such as Guidewire, Majesco, and Insurity, the system must move beyond simple digitisation. It must embody a "Decision-at-the-Point-of-Entry" philosophy, where the traditional, fragmented steps of ingestion, triage, and assessment are collapsed into a single, cohesive, AI-augmented event.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Requirements Framework outlines the functional architecture and strategic logic for a Phase 1 deployment, specifically tailored for the converging needs of Property and Casualty (P&amp;C), Auto Finance, and Finance and Insurance (F&amp;I) product lines.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Competitive Landscape: Benchmarking the Market Leaders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current market leaders have redefined the underwriting lifecycle as a dynamic, event-driven workflow rather than a static linear process.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To understand the requirements for a superior internal workbench, one must analyze the "Agentic Frameworks" and "Intelligent Co-Pilots" currently being deployed by tier-one providers.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Guidewire UnderwritingCenter and the Agentic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Guidewire's 2026 positioning centers on its UnderwritingCenter, a cloud-native application that utilizes an "Agentic Framework" to manage the pre-bind journey.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system is built to shift underwriters from manual triage to strategic risk selection by automating high-volume, low-complexity tasks.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Key features include the Submission Ingestion Agent, which uses advanced document intelligence to extract and normalize data from unstructured documents, and the Triage Agent, which performs real-time checks against underwriting guidelines and appetite matrices.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architecture ensures that out-of-appetite risks are identified instantly, freeing human experts to focus on "expert, judgment-driven" decisions.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Majesco and the Convergence of Sales and Underwriting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Majesco’s Intelligent Sales &amp; Underwriting Workbench focuses on the seamless integration of quoting and straight-through processing (STP).</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Their approach emphasizes "Smarter Renewals" via a Renewal Recommender that identifies cross-sell options using AI-driven insights.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For an in-house workbench, the Majesco benchmark highlights the necessity of "Persona-Based Experiences," where the user interface dynamically adapts to the needs of brokers, junior underwriters, or senior reviewers.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Feature Matrix: 2026 Market Standards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Market Leader Implementation (Guidewire/Majesco)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Next-Gen Requirement for Internal Workbench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AI-driven extraction and supplement with online research.</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Hyper-normalization of ACORD, Loss Runs, and Dealer paper into a unified Data Fabric.</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Automated "in or out" appetite checks.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Multi-variable "Traffic Lighting" including real-time CAT and credit sentiment.</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Decision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Embedded predictive scores and insights.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"Adversarial Critique" where a secondary AI challenges risk assumptions before human review.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Integrated broker and internal messaging.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Context-aware chat threads linked to specific data points in the "Single Pane of Glass".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Real-time regulatory and sanctions checks.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Automated "Explainability" generation for adverse actions to meet 2026 transparency laws.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Orchestration: Under the Hood of the 2026 Workbench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differentiator of a 2026-standard workbench is the "Data Fabric"—a layer that orchestrates internal policy data with massive external datasets in real-time, eliminating the need for manual data entry.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architecture must resolve entity conflicts, such as legal names versus "Doing Business As" (DBA) identifiers, using confidence scores to ensure data integrity.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Resolution and Data Reconciliation Logic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Underwriting decisions are often hindered by "noisy" or conflicting data from multiple sources.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workbench must implement an orchestration layer that identifies and links entities (insureds, vehicles, locations) across disparate data streams.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Orchestration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Submission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Extract structured data from unstructured PDFs/Emails.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Eliminate manual re-keying; reduce time-to-quote by 30%.</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Third-Party Enrichment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Call APIs for geospatial, credit, and VIN history.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Populate risk profiles automatically; detect misrepresentations early.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Internal PAS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Retrieve prior policy/claims history for the same entity.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Identify "multi-line" relationships and historical loss trends.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Resolve conflicts (e.g., address variances) with confidence scoring.</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 a "Single Source of Truth" for every risk assessment.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orchestration engine acts as a "digital underwriting assistant" that never tires of data collection, ensuring that by the time an underwriter views a submission, the file is enriched, verified, and scored.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of Business Requirements: Auto Finance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2026 Auto Finance module must integrate real-time credit decisioning with dealer performance monitoring.</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requires a transition from static loan-to-value (LTV) checks to dynamic "Lender Intelligence" that accounts for the specifics of each transaction as they change.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Credit Bureau and Decisioning Logic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Underwriting in auto finance is increasingly about speed and consistent application of credit policy.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AF-1.1</w:t>
      </w:r>
      <w:r w:rsidDel="00000000" w:rsidR="00000000" w:rsidRPr="00000000">
        <w:rPr>
          <w:rFonts w:ascii="Google Sans Text" w:cs="Google Sans Text" w:eastAsia="Google Sans Text" w:hAnsi="Google Sans Text"/>
          <w:color w:val="1f1f1f"/>
          <w:rtl w:val="0"/>
        </w:rPr>
        <w:t xml:space="preserve">: The workbench must integrate directly with credit bureaus (Equifax, Experian, TransUnion) via standardized APIs to pull credit scores, Payment-to-Income (PTI) ratios, and debt-to-income (DTI) metrics within the workflow.</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AF-1.2</w:t>
      </w:r>
      <w:r w:rsidDel="00000000" w:rsidR="00000000" w:rsidRPr="00000000">
        <w:rPr>
          <w:rFonts w:ascii="Google Sans Text" w:cs="Google Sans Text" w:eastAsia="Google Sans Text" w:hAnsi="Google Sans Text"/>
          <w:color w:val="1f1f1f"/>
          <w:rtl w:val="0"/>
        </w:rPr>
        <w:t xml:space="preserve">: Automated "Explainable AI" (XAI) for adverse actions. Regulators in 2026 require lenders to provide specific reasons for declines or pricing adjustments, even when derived from automated models.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AF-1.3</w:t>
      </w:r>
      <w:r w:rsidDel="00000000" w:rsidR="00000000" w:rsidRPr="00000000">
        <w:rPr>
          <w:rFonts w:ascii="Google Sans Text" w:cs="Google Sans Text" w:eastAsia="Google Sans Text" w:hAnsi="Google Sans Text"/>
          <w:color w:val="1f1f1f"/>
          <w:rtl w:val="0"/>
        </w:rPr>
        <w:t xml:space="preserve">: The decision engine must support "Risk-Based Pricing" that dynamically adjusts APR and terms based on LTV, PTI, credit tier, and vehicle attributes.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Dealer-Side API Webhooks and Performance Dashboards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Indirect lending success depends on the ability to partner effectively with dealers while monitoring their performance.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AF-2.1</w:t>
      </w:r>
      <w:r w:rsidDel="00000000" w:rsidR="00000000" w:rsidRPr="00000000">
        <w:rPr>
          <w:rFonts w:ascii="Google Sans Text" w:cs="Google Sans Text" w:eastAsia="Google Sans Text" w:hAnsi="Google Sans Text"/>
          <w:color w:val="1f1f1f"/>
          <w:rtl w:val="0"/>
        </w:rPr>
        <w:t xml:space="preserve">: Implementation of dealer-side API webhooks for instant quoting. When a dealer submits an application, the workbench should return an automated decision or a specific checklist for missing information within seconds.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AF-2.2</w:t>
      </w:r>
      <w:r w:rsidDel="00000000" w:rsidR="00000000" w:rsidRPr="00000000">
        <w:rPr>
          <w:rFonts w:ascii="Google Sans Text" w:cs="Google Sans Text" w:eastAsia="Google Sans Text" w:hAnsi="Google Sans Text"/>
          <w:color w:val="1f1f1f"/>
          <w:rtl w:val="0"/>
        </w:rPr>
        <w:t xml:space="preserve">: The workbench must feature a Dealer Performance Dashboard that tracks "Hit Ratios" (offers accepted vs. declined) and delinquency roll rates by dealer.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AF-2.3</w:t>
      </w:r>
      <w:r w:rsidDel="00000000" w:rsidR="00000000" w:rsidRPr="00000000">
        <w:rPr>
          <w:rFonts w:ascii="Google Sans Text" w:cs="Google Sans Text" w:eastAsia="Google Sans Text" w:hAnsi="Google Sans Text"/>
          <w:color w:val="1f1f1f"/>
          <w:rtl w:val="0"/>
        </w:rPr>
        <w:t xml:space="preserve">: Pricing models must account for "Dealer Discounting" behavior, using simulation to identify strategies that deliver target margins under specific risk thresholds.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Finance Key Performance Indicators (KPIs) for Dashboards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Underwriting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LTV / PTI Automated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Check against J.D. Power retail values and verified income.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Ensures loans stay within risk-adjusted capital limits.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Roll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Percentage of accounts moving from 1-7 days to 8-15 days past due.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Early risk detection to tighten underwriting standards for specific segments.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Cure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Effectiveness of collections on delinquent accounts.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cure rates may allow for broader "Yellow Light" triage buckets.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Term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Monitoring if underwriting policies are being consistently applied or if terms are creeping longer.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Prevents "yield erosion" from over-extended loan durations.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of Business Requirements: Property &amp; Casualty (P&amp;C)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P&amp;C, the 2026 standard is built on "Address-Level Risk Precision" and the ability to visualize hyper-local perils.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workbench must move beyond postal codes and utilize "Building-Based Geocoding" to pinpoint exact rooftop locations for every structure on a parcel.</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Risk Visualization and Hazard Mapping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workbench must serve as a "Unified Risk Intelligence Platform" where underwriters can view all critical geospatial datasets in a single interface.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PC-1.1</w:t>
      </w:r>
      <w:r w:rsidDel="00000000" w:rsidR="00000000" w:rsidRPr="00000000">
        <w:rPr>
          <w:rFonts w:ascii="Google Sans Text" w:cs="Google Sans Text" w:eastAsia="Google Sans Text" w:hAnsi="Google Sans Text"/>
          <w:color w:val="1f1f1f"/>
          <w:rtl w:val="0"/>
        </w:rPr>
        <w:t xml:space="preserve">: Integration of interactive hazard maps displaying real-time wildfire, flood, earthquake, and landslide threats.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PC-1.2</w:t>
      </w:r>
      <w:r w:rsidDel="00000000" w:rsidR="00000000" w:rsidRPr="00000000">
        <w:rPr>
          <w:rFonts w:ascii="Google Sans Text" w:cs="Google Sans Text" w:eastAsia="Google Sans Text" w:hAnsi="Google Sans Text"/>
          <w:color w:val="1f1f1f"/>
          <w:rtl w:val="0"/>
        </w:rPr>
        <w:t xml:space="preserve">: Inclusion of "Structure Hardening" and defensible space data. In 2026, California law (SB 429) and programs like "Safer from Wildfires" require insurers to consider and document mitigation actions in their risk scores.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PC-1.3</w:t>
      </w:r>
      <w:r w:rsidDel="00000000" w:rsidR="00000000" w:rsidRPr="00000000">
        <w:rPr>
          <w:rFonts w:ascii="Google Sans Text" w:cs="Google Sans Text" w:eastAsia="Google Sans Text" w:hAnsi="Google Sans Text"/>
          <w:color w:val="1f1f1f"/>
          <w:rtl w:val="0"/>
        </w:rPr>
        <w:t xml:space="preserve">: Automated geocoding validation. The system must cross-check broker-submitted addresses against high-resolution aerial imagery to detect anomalies, such as buildings located miles from the indicated address.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GenAI Loss Run Summarization and Underwriting Assistant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immediate ROI for generative AI in P&amp;C is the summarization of massive, unstructured submission files.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PC-2.1</w:t>
      </w:r>
      <w:r w:rsidDel="00000000" w:rsidR="00000000" w:rsidRPr="00000000">
        <w:rPr>
          <w:rFonts w:ascii="Google Sans Text" w:cs="Google Sans Text" w:eastAsia="Google Sans Text" w:hAnsi="Google Sans Text"/>
          <w:color w:val="1f1f1f"/>
          <w:rtl w:val="0"/>
        </w:rPr>
        <w:t xml:space="preserve">: The workbench must employ an AI agent to read "50-page submissions," including ACORD forms, loss runs, and inspection reports, and synthesize them into a 5-bullet summary.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PC-2.2</w:t>
      </w:r>
      <w:r w:rsidDel="00000000" w:rsidR="00000000" w:rsidRPr="00000000">
        <w:rPr>
          <w:rFonts w:ascii="Google Sans Text" w:cs="Google Sans Text" w:eastAsia="Google Sans Text" w:hAnsi="Google Sans Text"/>
          <w:color w:val="1f1f1f"/>
          <w:rtl w:val="0"/>
        </w:rPr>
        <w:t xml:space="preserve">: Automated "Appetite Mismatch" flagging. The assistant should read carrier rulebooks and appetite matrices to flag risks that fall outside the desired segments, providing specific "reason codes" for the flag.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PC-2.3</w:t>
      </w:r>
      <w:r w:rsidDel="00000000" w:rsidR="00000000" w:rsidRPr="00000000">
        <w:rPr>
          <w:rFonts w:ascii="Google Sans Text" w:cs="Google Sans Text" w:eastAsia="Google Sans Text" w:hAnsi="Google Sans Text"/>
          <w:color w:val="1f1f1f"/>
          <w:rtl w:val="0"/>
        </w:rPr>
        <w:t xml:space="preserve">: Extraction of COPE (Construction, Occupancy, Protection, and Exposure) details from broker cover letters and supplemental forms to pre-fill the risk profile.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P&amp;C Data Fabric: Third-Party Data Mapping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External Data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Points for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Underwriting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LexisNexis C.L.U.E.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5-year loss history; household member identifiers.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Automated verification of prior claims and occupancy risk.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HazardHub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Sinkhole risk; distance to coast; fire hydrant proximity.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Precise peril-level scoring and micro-segmentation for pricing.</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Verisk FireLine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Fuel density; slope; road access scores.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Automated triage for wildfire risk; threshold-based declines (e.g., score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251073" cy="1931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073" cy="193133"/>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Ecopia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Roof geometry; vegetation overhang; tree health.</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Proactive loss avoidance and accurate replacement cost estimates.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of Business Requirements: F&amp;I (GAP and Warranty)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F&amp;I products like Guaranteed Asset Protection (GAP) and Vehicle Service Contracts (VSC) require "Zero-Touch" straight-through processing (STP) to be profitable in high-volume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Zero-Touch Straight-Through Processing (STP)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2026, the F&amp;I module must automatically evaluate and bind policies based on VIN and loan parameters without human intervention for standard risks.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FI-1.1</w:t>
      </w:r>
      <w:r w:rsidDel="00000000" w:rsidR="00000000" w:rsidRPr="00000000">
        <w:rPr>
          <w:rFonts w:ascii="Google Sans Text" w:cs="Google Sans Text" w:eastAsia="Google Sans Text" w:hAnsi="Google Sans Text"/>
          <w:color w:val="1f1f1f"/>
          <w:rtl w:val="0"/>
        </w:rPr>
        <w:t xml:space="preserve">: The system must verify GAP eligibility by checking that the amount financed is </w:t>
      </w:r>
      <w:r w:rsidDel="00000000" w:rsidR="00000000" w:rsidRPr="00000000">
        <w:rPr>
          <w:rFonts w:ascii="Google Sans Text" w:cs="Google Sans Text" w:eastAsia="Google Sans Text" w:hAnsi="Google Sans Text"/>
          <w:color w:val="1f1f1f"/>
        </w:rPr>
        <w:drawing>
          <wp:inline distB="19050" distT="19050" distL="19050" distR="19050">
            <wp:extent cx="922213" cy="2186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2213" cy="2186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the LTV is within the allowed threshold (typically 120% to 150% of MSRP/J.D. Power value).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FI-1.2</w:t>
      </w:r>
      <w:r w:rsidDel="00000000" w:rsidR="00000000" w:rsidRPr="00000000">
        <w:rPr>
          <w:rFonts w:ascii="Google Sans Text" w:cs="Google Sans Text" w:eastAsia="Google Sans Text" w:hAnsi="Google Sans Text"/>
          <w:color w:val="1f1f1f"/>
          <w:rtl w:val="0"/>
        </w:rPr>
        <w:t xml:space="preserve">: Automated VIN decoding to check for "branded" titles (salvage, lemon law, buyback) and commercial usage, which often exclude GAP or Warranty coverage.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FI-1.3</w:t>
      </w:r>
      <w:r w:rsidDel="00000000" w:rsidR="00000000" w:rsidRPr="00000000">
        <w:rPr>
          <w:rFonts w:ascii="Google Sans Text" w:cs="Google Sans Text" w:eastAsia="Google Sans Text" w:hAnsi="Google Sans Text"/>
          <w:color w:val="1f1f1f"/>
          <w:rtl w:val="0"/>
        </w:rPr>
        <w:t xml:space="preserve">: Mileage-based warranty triggers. The workbench must pull current mileage from VIN service records or auction data to suggest the appropriate "High Mileage" or "Certified Wrap" plan.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Benefit and Refund Calculation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Managing the post-bind lifecycle of F&amp;I products is critical for dealer relationships and compliance.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FI-2.1</w:t>
      </w:r>
      <w:r w:rsidDel="00000000" w:rsidR="00000000" w:rsidRPr="00000000">
        <w:rPr>
          <w:rFonts w:ascii="Google Sans Text" w:cs="Google Sans Text" w:eastAsia="Google Sans Text" w:hAnsi="Google Sans Text"/>
          <w:color w:val="1f1f1f"/>
          <w:rtl w:val="0"/>
        </w:rPr>
        <w:t xml:space="preserve">: Automated "Chargeback" and Refund Logic. If a GAP policy is cancelled (e.g., within 30 days or following a total loss settlement), the system must automatically calculate the pro-rata refund and manage the dealer commission chargeback.</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FI-2.2</w:t>
      </w:r>
      <w:r w:rsidDel="00000000" w:rsidR="00000000" w:rsidRPr="00000000">
        <w:rPr>
          <w:rFonts w:ascii="Google Sans Text" w:cs="Google Sans Text" w:eastAsia="Google Sans Text" w:hAnsi="Google Sans Text"/>
          <w:color w:val="1f1f1f"/>
          <w:rtl w:val="0"/>
        </w:rPr>
        <w:t xml:space="preserve">: Integration with J.D. Power "Clean Retail" valuation to establish the Actual Cash Value (ACV) at the time of a GAP claim, ensuring the "gap" between the loan balance and insurance settlement is calculated correctly.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Pane of Glass' UI/UX Specification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fundamental objective of the "Single Pane of Glass" is to eliminate "swivel-chair" activity where underwriters must toggle between the Policy Administration System (PAS), external maps, and document folders.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Dashboard and Navigation</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Unified Risk Score Visualization</w:t>
      </w:r>
      <w:r w:rsidDel="00000000" w:rsidR="00000000" w:rsidRPr="00000000">
        <w:rPr>
          <w:rFonts w:ascii="Google Sans Text" w:cs="Google Sans Text" w:eastAsia="Google Sans Text" w:hAnsi="Google Sans Text"/>
          <w:color w:val="1f1f1f"/>
          <w:rtl w:val="0"/>
        </w:rPr>
        <w:t xml:space="preserve">: A centralized "Risk Score" widget must aggregate credit, peril, and behavioral scores into a single heat map, allowing the underwriter to see the "why" behind the score with one click.</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 Side-by-Side Viewing</w:t>
      </w:r>
      <w:r w:rsidDel="00000000" w:rsidR="00000000" w:rsidRPr="00000000">
        <w:rPr>
          <w:rFonts w:ascii="Google Sans Text" w:cs="Google Sans Text" w:eastAsia="Google Sans Text" w:hAnsi="Google Sans Text"/>
          <w:color w:val="1f1f1f"/>
          <w:rtl w:val="0"/>
        </w:rPr>
        <w:t xml:space="preserve">: The UI must support a split-screen view where the submission document (e.g., a broker cover letter) is on one side, and the AI-extracted, enriched data fields are on the other for instant validation.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Low-Code Customization</w:t>
      </w:r>
      <w:r w:rsidDel="00000000" w:rsidR="00000000" w:rsidRPr="00000000">
        <w:rPr>
          <w:rFonts w:ascii="Google Sans Text" w:cs="Google Sans Text" w:eastAsia="Google Sans Text" w:hAnsi="Google Sans Text"/>
          <w:color w:val="1f1f1f"/>
          <w:rtl w:val="0"/>
        </w:rPr>
        <w:t xml:space="preserve">: The dashboard layouts should be configurable via low-code tools, allowing different lines of business to prioritize the data points most relevant to them (e.g., LTV for Auto Finance vs. FireLine for P&amp;C).</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Collaboration and Workflow</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Underwriting is a "team sport" that requires input from actuaries, brokers, and senior reviewers.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UI-2.1</w:t>
      </w:r>
      <w:r w:rsidDel="00000000" w:rsidR="00000000" w:rsidRPr="00000000">
        <w:rPr>
          <w:rFonts w:ascii="Google Sans Text" w:cs="Google Sans Text" w:eastAsia="Google Sans Text" w:hAnsi="Google Sans Text"/>
          <w:color w:val="1f1f1f"/>
          <w:rtl w:val="0"/>
        </w:rPr>
        <w:t xml:space="preserve">: Built-in messaging threads that are "attached" to the submission record. This eliminates fragmented email chains and ensures all communications are part of the permanent audit trail.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 UI-2.2</w:t>
      </w:r>
      <w:r w:rsidDel="00000000" w:rsidR="00000000" w:rsidRPr="00000000">
        <w:rPr>
          <w:rFonts w:ascii="Google Sans Text" w:cs="Google Sans Text" w:eastAsia="Google Sans Text" w:hAnsi="Google Sans Text"/>
          <w:color w:val="1f1f1f"/>
          <w:rtl w:val="0"/>
        </w:rPr>
        <w:t xml:space="preserve">: Role-Based Access Controls (RBAC) that adjust the interface based on the user persona. Junior underwriters see "Checklists," while Senior reviewers see "Portfolio Impact" analysis.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&amp; Automation Layer: The Intelligent Co-Pilot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AI layer in 2026 is defined by "Agentic AI"—software that doesn't just process data but reasons through complex scenarios to recommend actions.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Adversarial Critique Mechanism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address concerns regarding AI "hallucinations" in regulated workflows, the workbench will implement an internal system of checks and balances.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Step 1: Reasoning</w:t>
      </w:r>
      <w:r w:rsidDel="00000000" w:rsidR="00000000" w:rsidRPr="00000000">
        <w:rPr>
          <w:rFonts w:ascii="Google Sans Text" w:cs="Google Sans Text" w:eastAsia="Google Sans Text" w:hAnsi="Google Sans Text"/>
          <w:color w:val="1f1f1f"/>
          <w:rtl w:val="0"/>
        </w:rPr>
        <w:t xml:space="preserve">: The primary AI agent analyzes the submission and generates a recommendation.</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Step 2: Critique</w:t>
      </w:r>
      <w:r w:rsidDel="00000000" w:rsidR="00000000" w:rsidRPr="00000000">
        <w:rPr>
          <w:rFonts w:ascii="Google Sans Text" w:cs="Google Sans Text" w:eastAsia="Google Sans Text" w:hAnsi="Google Sans Text"/>
          <w:color w:val="1f1f1f"/>
          <w:rtl w:val="0"/>
        </w:rPr>
        <w:t xml:space="preserve">: A secondary "Critic Agent" challenges the primary agent’s conclusions, checking for guideline deviations or missing evidence.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Step 3: Human-in-the-Loop (HITL)</w:t>
      </w:r>
      <w:r w:rsidDel="00000000" w:rsidR="00000000" w:rsidRPr="00000000">
        <w:rPr>
          <w:rFonts w:ascii="Google Sans Text" w:cs="Google Sans Text" w:eastAsia="Google Sans Text" w:hAnsi="Google Sans Text"/>
          <w:color w:val="1f1f1f"/>
          <w:rtl w:val="0"/>
        </w:rPr>
        <w:t xml:space="preserve">: If the agents disagree, the case is escalated to a human reviewer with the conflicting viewpoints highlighted. This adversarial approach has been shown to reduce hallucination rates from 11.3% to 3.8%.</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Underwriting Discrepancy Detector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must automatically flag inconsistencies between broker-declared data and third-party truths.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Detected Discrepancy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Suggested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Occupancy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Google Maps/Street View images.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Flag "misclassification"; trigger site inspection.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 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Secretary of State filing records.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Trigger "Know Your Customer" (KYC) review.</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 Loss Anomaly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LexisNexis C.L.U.E. Reports.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Adjust premium or add specific peril exclusions.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Income Discrepancy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Verification of Employment (VOE) APIs.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Adjust loan tier or request paystubs.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MoSCoW Prioritization Table for Phase 1 Build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Phase 1 build focuses on establishing the "Operational Fundamentals" that are no longer optional in the 2026 market.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Single Pane of Glass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Critical for eliminating "swivel-chair" inefficiency and reducing expense ratios.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Agentic Submission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Necessary for handling the volume of unstructured 2026 submissions.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Real-Time API Data Fabric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Enables "Decision-at-the-Point-of-Entry" for credit and peril risks.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Explainability Rationale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Ensures 50-state regulatory compliance for automated decisions.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GenAI Loss Run Summarizer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Collapses review time for complex commercial risks.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Dealer Performance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for competitive indirect auto finance portfolio management.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Mixed Reality (XR)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Future-proofing for remote property inspections and claims validation.</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Voice-Based 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Accessibility and efficiency for desk-bound underwriters.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Won't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Autonomous Binding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High-complexity risks will always require "Human-in-the-Loop" review in Phase 1.</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Architecture: The Central Hub Concept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2026 Phase 1 architecture is a "Central Hub" that decouples data processing from the core Policy Administration System (PAS).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allows for a more agile integration of new data sources and AI models without breaking legacy core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 Layer</w:t>
      </w:r>
      <w:r w:rsidDel="00000000" w:rsidR="00000000" w:rsidRPr="00000000">
        <w:rPr>
          <w:rFonts w:ascii="Google Sans Text" w:cs="Google Sans Text" w:eastAsia="Google Sans Text" w:hAnsi="Google Sans Text"/>
          <w:color w:val="1f1f1f"/>
          <w:rtl w:val="0"/>
        </w:rPr>
        <w:t xml:space="preserve">: Utilizes NLP and OCR to normalize all incoming documents (Emails, ACORD, PDFs) into a canonical insurance schema (e.g., ACORD XML or JSON).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Orchestration Layer</w:t>
      </w:r>
      <w:r w:rsidDel="00000000" w:rsidR="00000000" w:rsidRPr="00000000">
        <w:rPr>
          <w:rFonts w:ascii="Google Sans Text" w:cs="Google Sans Text" w:eastAsia="Google Sans Text" w:hAnsi="Google Sans Text"/>
          <w:color w:val="1f1f1f"/>
          <w:rtl w:val="0"/>
        </w:rPr>
        <w:t xml:space="preserve">: Manages the "Traffic Light" logic. It triggers API calls to LexisNexis, Verisk, and Credit Bureaus based on the risk type.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Intelligence Layer</w:t>
      </w:r>
      <w:r w:rsidDel="00000000" w:rsidR="00000000" w:rsidRPr="00000000">
        <w:rPr>
          <w:rFonts w:ascii="Google Sans Text" w:cs="Google Sans Text" w:eastAsia="Google Sans Text" w:hAnsi="Google Sans Text"/>
          <w:color w:val="1f1f1f"/>
          <w:rtl w:val="0"/>
        </w:rPr>
        <w:t xml:space="preserve">: Houses the LLM-based assistants and predictive models. This layer performs the "Adversarial Critique" and generates the 5-bullet summaries.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UI/UX Layer</w:t>
      </w:r>
      <w:r w:rsidDel="00000000" w:rsidR="00000000" w:rsidRPr="00000000">
        <w:rPr>
          <w:rFonts w:ascii="Google Sans Text" w:cs="Google Sans Text" w:eastAsia="Google Sans Text" w:hAnsi="Google Sans Text"/>
          <w:color w:val="1f1f1f"/>
          <w:rtl w:val="0"/>
        </w:rPr>
        <w:t xml:space="preserve">: The "Single Pane of Glass" dashboard, which communicates with the Intelligence Layer via secure GraphQL/REST APIs.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Audit &amp; Compliance Layer</w:t>
      </w:r>
      <w:r w:rsidDel="00000000" w:rsidR="00000000" w:rsidRPr="00000000">
        <w:rPr>
          <w:rFonts w:ascii="Google Sans Text" w:cs="Google Sans Text" w:eastAsia="Google Sans Text" w:hAnsi="Google Sans Text"/>
          <w:color w:val="1f1f1f"/>
          <w:rtl w:val="0"/>
        </w:rPr>
        <w:t xml:space="preserve">: Every AI suggestion, human override, and third-party data call is timestamped and logged for auditability.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Persona Workflows: Junior vs. Senior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workbench is designed to optimize the "Underwriting Talent Pipeline," which is being reshaped by the retirement of 400,000 workers by 2026.</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Underwriter Workflow (Exception Management)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Phase 1, the Junior Underwriter moves from being a "data entry clerk" to an "exception handler".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Submission Review</w:t>
      </w:r>
      <w:r w:rsidDel="00000000" w:rsidR="00000000" w:rsidRPr="00000000">
        <w:rPr>
          <w:rFonts w:ascii="Google Sans Text" w:cs="Google Sans Text" w:eastAsia="Google Sans Text" w:hAnsi="Google Sans Text"/>
          <w:color w:val="1f1f1f"/>
          <w:rtl w:val="0"/>
        </w:rPr>
        <w:t xml:space="preserve">: The Junior staff member receives a "Green" or "Yellow" triaged risk.</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Validation</w:t>
      </w:r>
      <w:r w:rsidDel="00000000" w:rsidR="00000000" w:rsidRPr="00000000">
        <w:rPr>
          <w:rFonts w:ascii="Google Sans Text" w:cs="Google Sans Text" w:eastAsia="Google Sans Text" w:hAnsi="Google Sans Text"/>
          <w:color w:val="1f1f1f"/>
          <w:rtl w:val="0"/>
        </w:rPr>
        <w:t xml:space="preserve">: They review the 5-bullet GenAI summary and cross-check the "Reason Codes" for any flags.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Broker Interaction</w:t>
      </w:r>
      <w:r w:rsidDel="00000000" w:rsidR="00000000" w:rsidRPr="00000000">
        <w:rPr>
          <w:rFonts w:ascii="Google Sans Text" w:cs="Google Sans Text" w:eastAsia="Google Sans Text" w:hAnsi="Google Sans Text"/>
          <w:color w:val="1f1f1f"/>
          <w:rtl w:val="0"/>
        </w:rPr>
        <w:t xml:space="preserve">: With one click, they send the AI-generated "Missing Information" checklist to the broker.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Approval</w:t>
      </w:r>
      <w:r w:rsidDel="00000000" w:rsidR="00000000" w:rsidRPr="00000000">
        <w:rPr>
          <w:rFonts w:ascii="Google Sans Text" w:cs="Google Sans Text" w:eastAsia="Google Sans Text" w:hAnsi="Google Sans Text"/>
          <w:color w:val="1f1f1f"/>
          <w:rtl w:val="0"/>
        </w:rPr>
        <w:t xml:space="preserve">: For low-complexity STP risks, the Junior staff member verifies the automated bind recommendation.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Underwriter Workflow (Portfolio Strategy)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Senior talent is reserved for complex risks and portfolio-level decisions.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Escalation</w:t>
      </w:r>
      <w:r w:rsidDel="00000000" w:rsidR="00000000" w:rsidRPr="00000000">
        <w:rPr>
          <w:rFonts w:ascii="Google Sans Text" w:cs="Google Sans Text" w:eastAsia="Google Sans Text" w:hAnsi="Google Sans Text"/>
          <w:color w:val="1f1f1f"/>
          <w:rtl w:val="0"/>
        </w:rPr>
        <w:t xml:space="preserve">: The Senior reviewer receives "Red" triaged risks or cases where the Adversarial Critic flagged a high-impact mismatch.</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Portfolio Impact</w:t>
      </w:r>
      <w:r w:rsidDel="00000000" w:rsidR="00000000" w:rsidRPr="00000000">
        <w:rPr>
          <w:rFonts w:ascii="Google Sans Text" w:cs="Google Sans Text" w:eastAsia="Google Sans Text" w:hAnsi="Google Sans Text"/>
          <w:color w:val="1f1f1f"/>
          <w:rtl w:val="0"/>
        </w:rPr>
        <w:t xml:space="preserve">: They use the dashboard to visualize how a new large risk impacts CAT accumulation or credit exposure in specific regions.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Underwriting Authority</w:t>
      </w:r>
      <w:r w:rsidDel="00000000" w:rsidR="00000000" w:rsidRPr="00000000">
        <w:rPr>
          <w:rFonts w:ascii="Google Sans Text" w:cs="Google Sans Text" w:eastAsia="Google Sans Text" w:hAnsi="Google Sans Text"/>
          <w:color w:val="1f1f1f"/>
          <w:rtl w:val="0"/>
        </w:rPr>
        <w:t xml:space="preserve">: Senior underwriters use the "Override" feature to approve out-of-appetite risks based on relationship data, with mandatory text fields for "Rationale" to ensure compliance.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Edge "Bake-Ins": The 2026 Scorecard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success of the in-house workbench will be measured by its ability to outperform manual and fragmented market legacy systems.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Legacy / Manual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Next-Gen Workbench (Phase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Multi-tab / "Swivel-chair".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Single Pane of Glass.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Manual entry / Human error.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Data Fabric / Entity Resolution.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Fragmented Email chains.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Integrated Chat with Audit Trail.</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Rules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IT tickets / 6-month cycles.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Low-Code Rules Console / Sandbox.</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Decision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Days to Weeks.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Minutes to Hours.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Loss Ratio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Reactive risk selection.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Proactive peril-level scoring.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Implementation Roadmap</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construction of a 2026-standard Underwriting Workbench is a strategic necessity for carriers and lenders aiming to maintain profitability in an era of climate volatility and digital-first lending.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prioritizing the "Data Fabric" and "Agentic AI" layers, the organization can transcend the limitations of current market leaders who are often tethered to legacy core architectures.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causal chain established in this framework is clear: </w:t>
      </w:r>
      <w:r w:rsidDel="00000000" w:rsidR="00000000" w:rsidRPr="00000000">
        <w:rPr>
          <w:rFonts w:ascii="Google Sans Text" w:cs="Google Sans Text" w:eastAsia="Google Sans Text" w:hAnsi="Google Sans Text"/>
          <w:b w:val="1"/>
          <w:bCs w:val="1"/>
          <w:color w:val="1f1f1f"/>
          <w:rtl w:val="0"/>
        </w:rPr>
        <w:t xml:space="preserve">Seamless data orchestration leads to intelligent triage, which enables underwriters to focus on higher-margin, complex risk selection.</w:t>
      </w:r>
      <w:r w:rsidDel="00000000" w:rsidR="00000000" w:rsidRPr="00000000">
        <w:rPr>
          <w:rFonts w:ascii="Google Sans Text" w:cs="Google Sans Text" w:eastAsia="Google Sans Text" w:hAnsi="Google Sans Text"/>
          <w:color w:val="1f1f1f"/>
          <w:rtl w:val="0"/>
        </w:rPr>
        <w:t xml:space="preserve"> Phase 1 implementation must focus on the "Must-Have" fundamentals—specifically the Single Pane of Glass and the Real-Time API Data Fabric—while establishing the "Adversarial Critique" logic that will eventually support full algorithmic underwriting.</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approach ensures that the organization not only keeps pace with Guidewire and Majesco but sets a new standard for "Intelligent Insurance" workflows.</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P&amp;C Insurance Trends: The Forces Reshaping the Industry - Guidewire, accessed February 17, 2026, </w:t>
      </w:r>
      <w:hyperlink r:id="rId8">
        <w:r w:rsidDel="00000000" w:rsidR="00000000" w:rsidRPr="00000000">
          <w:rPr>
            <w:rFonts w:ascii="Google Sans" w:cs="Google Sans" w:eastAsia="Google Sans" w:hAnsi="Google Sans"/>
            <w:color w:val="0000ee"/>
            <w:sz w:val="24"/>
            <w:szCs w:val="24"/>
            <w:u w:val="single"/>
            <w:rtl w:val="0"/>
          </w:rPr>
          <w:t xml:space="preserve">https://www.guidewire.com/resources/blog/industry-trends/insurance-technology-trends</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Underwriting Software - UnderwritingCenter | Guidewire, accessed February 17, 2026, </w:t>
      </w:r>
      <w:hyperlink r:id="rId9">
        <w:r w:rsidDel="00000000" w:rsidR="00000000" w:rsidRPr="00000000">
          <w:rPr>
            <w:rFonts w:ascii="Google Sans" w:cs="Google Sans" w:eastAsia="Google Sans" w:hAnsi="Google Sans"/>
            <w:color w:val="0000ee"/>
            <w:sz w:val="24"/>
            <w:szCs w:val="24"/>
            <w:u w:val="single"/>
            <w:rtl w:val="0"/>
          </w:rPr>
          <w:t xml:space="preserve">https://www.guidewire.com/products/core-products/insurancesuite/underwritingcenter-insurance-underwriting-software</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Underwriting Workbench &amp; Tools: The Complete ... - Decerto Blog, accessed February 17, 2026, </w:t>
      </w:r>
      <w:hyperlink r:id="rId10">
        <w:r w:rsidDel="00000000" w:rsidR="00000000" w:rsidRPr="00000000">
          <w:rPr>
            <w:rFonts w:ascii="Google Sans" w:cs="Google Sans" w:eastAsia="Google Sans" w:hAnsi="Google Sans"/>
            <w:color w:val="0000ee"/>
            <w:sz w:val="24"/>
            <w:szCs w:val="24"/>
            <w:u w:val="single"/>
            <w:rtl w:val="0"/>
          </w:rPr>
          <w:t xml:space="preserve">https://www.decerto.com/post/what-is-an-underwriting-workbench</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Assist for Underwriting and Quoting - Insurance Journal, accessed February 17, 2026, </w:t>
      </w:r>
      <w:hyperlink r:id="rId11">
        <w:r w:rsidDel="00000000" w:rsidR="00000000" w:rsidRPr="00000000">
          <w:rPr>
            <w:rFonts w:ascii="Google Sans" w:cs="Google Sans" w:eastAsia="Google Sans" w:hAnsi="Google Sans"/>
            <w:color w:val="0000ee"/>
            <w:sz w:val="24"/>
            <w:szCs w:val="24"/>
            <w:u w:val="single"/>
            <w:rtl w:val="0"/>
          </w:rPr>
          <w:t xml:space="preserve">https://www.insurancejournal.com/blogs/selectsys/2026/01/26/855449.htm</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Underwriting | Guidewire, accessed February 17, 2026, </w:t>
      </w:r>
      <w:hyperlink r:id="rId12">
        <w:r w:rsidDel="00000000" w:rsidR="00000000" w:rsidRPr="00000000">
          <w:rPr>
            <w:rFonts w:ascii="Google Sans" w:cs="Google Sans" w:eastAsia="Google Sans" w:hAnsi="Google Sans"/>
            <w:color w:val="0000ee"/>
            <w:sz w:val="24"/>
            <w:szCs w:val="24"/>
            <w:u w:val="single"/>
            <w:rtl w:val="0"/>
          </w:rPr>
          <w:t xml:space="preserve">https://www.guidewire.com/products/solutions/solutions-for-the-insurance-lifecycle/underwriting</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&amp; Underwriting Workbench for Group &amp; Voluntary Benefits, accessed February 17, 2026, </w:t>
      </w:r>
      <w:hyperlink r:id="rId13">
        <w:r w:rsidDel="00000000" w:rsidR="00000000" w:rsidRPr="00000000">
          <w:rPr>
            <w:rFonts w:ascii="Google Sans" w:cs="Google Sans" w:eastAsia="Google Sans" w:hAnsi="Google Sans"/>
            <w:color w:val="0000ee"/>
            <w:sz w:val="24"/>
            <w:szCs w:val="24"/>
            <w:u w:val="single"/>
            <w:rtl w:val="0"/>
          </w:rPr>
          <w:t xml:space="preserve">https://www.majesco.com/eguides/intelligent-sales-underwriting-workbench-simplifying-quote-rate-and-renewal-processes/</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AI-Ready GeoIntelligence for Enhanced P&amp;C Insurance Business Value - Quarticle, accessed February 17, 2026, </w:t>
      </w:r>
      <w:hyperlink r:id="rId14">
        <w:r w:rsidDel="00000000" w:rsidR="00000000" w:rsidRPr="00000000">
          <w:rPr>
            <w:rFonts w:ascii="Google Sans" w:cs="Google Sans" w:eastAsia="Google Sans" w:hAnsi="Google Sans"/>
            <w:color w:val="0000ee"/>
            <w:sz w:val="24"/>
            <w:szCs w:val="24"/>
            <w:u w:val="single"/>
            <w:rtl w:val="0"/>
          </w:rPr>
          <w:t xml:space="preserve">https://quarticle.ch/solutions/ai-geointelligence-insurance</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Insurance: Complete Guide for 2026 - V7 Go, accessed February 17, 2026, </w:t>
      </w:r>
      <w:hyperlink r:id="rId15">
        <w:r w:rsidDel="00000000" w:rsidR="00000000" w:rsidRPr="00000000">
          <w:rPr>
            <w:rFonts w:ascii="Google Sans" w:cs="Google Sans" w:eastAsia="Google Sans" w:hAnsi="Google Sans"/>
            <w:color w:val="0000ee"/>
            <w:sz w:val="24"/>
            <w:szCs w:val="24"/>
            <w:u w:val="single"/>
            <w:rtl w:val="0"/>
          </w:rPr>
          <w:t xml:space="preserve">https://www.v7labs.com/blog/generative-ai-in-insurance</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Underwriting Discrepancy Detector AI Agent in Underwriting of ..., accessed February 17, 2026, </w:t>
      </w:r>
      <w:hyperlink r:id="rId16">
        <w:r w:rsidDel="00000000" w:rsidR="00000000" w:rsidRPr="00000000">
          <w:rPr>
            <w:rFonts w:ascii="Google Sans" w:cs="Google Sans" w:eastAsia="Google Sans" w:hAnsi="Google Sans"/>
            <w:color w:val="0000ee"/>
            <w:sz w:val="24"/>
            <w:szCs w:val="24"/>
            <w:u w:val="single"/>
            <w:rtl w:val="0"/>
          </w:rPr>
          <w:t xml:space="preserve">https://insurnest.com/agent-details/insurance/underwriting/underwriting-discrepancy-detector-ai-agent-in-underwriting-of-insurance/</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Underwriting Risk Assessment AI Agent in Underwriting of Insurance - insurnest, accessed February 17, 2026, </w:t>
      </w:r>
      <w:hyperlink r:id="rId17">
        <w:r w:rsidDel="00000000" w:rsidR="00000000" w:rsidRPr="00000000">
          <w:rPr>
            <w:rFonts w:ascii="Google Sans" w:cs="Google Sans" w:eastAsia="Google Sans" w:hAnsi="Google Sans"/>
            <w:color w:val="0000ee"/>
            <w:sz w:val="24"/>
            <w:szCs w:val="24"/>
            <w:u w:val="single"/>
            <w:rtl w:val="0"/>
          </w:rPr>
          <w:t xml:space="preserve">https://insurnest.com/agent-details/insurance/underwriting/underwriting-risk-assessment-ai-agent-in-underwriting-of-insurance</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Commercial Insurance Underwriting with Adversarial Self-Critique - arXiv.org, accessed February 17, 2026, </w:t>
      </w:r>
      <w:hyperlink r:id="rId18">
        <w:r w:rsidDel="00000000" w:rsidR="00000000" w:rsidRPr="00000000">
          <w:rPr>
            <w:rFonts w:ascii="Google Sans" w:cs="Google Sans" w:eastAsia="Google Sans" w:hAnsi="Google Sans"/>
            <w:color w:val="0000ee"/>
            <w:sz w:val="24"/>
            <w:szCs w:val="24"/>
            <w:u w:val="single"/>
            <w:rtl w:val="0"/>
          </w:rPr>
          <w:t xml:space="preserve">https://arxiv.org/html/2602.13213v1</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The Year APIs and AI Become Non-Negotiable for Financial Services - Tyk.io, accessed February 17, 2026, </w:t>
      </w:r>
      <w:hyperlink r:id="rId19">
        <w:r w:rsidDel="00000000" w:rsidR="00000000" w:rsidRPr="00000000">
          <w:rPr>
            <w:rFonts w:ascii="Google Sans" w:cs="Google Sans" w:eastAsia="Google Sans" w:hAnsi="Google Sans"/>
            <w:color w:val="0000ee"/>
            <w:sz w:val="24"/>
            <w:szCs w:val="24"/>
            <w:u w:val="single"/>
            <w:rtl w:val="0"/>
          </w:rPr>
          <w:t xml:space="preserve">https://tyk.io/blog/2026-the-year-apis-and-ai-become-non-negotiable-for-financial-services/</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California insurance laws taking effect in 2026: What policyholders need to know, accessed February 17, 2026, </w:t>
      </w:r>
      <w:hyperlink r:id="rId20">
        <w:r w:rsidDel="00000000" w:rsidR="00000000" w:rsidRPr="00000000">
          <w:rPr>
            <w:rFonts w:ascii="Google Sans" w:cs="Google Sans" w:eastAsia="Google Sans" w:hAnsi="Google Sans"/>
            <w:color w:val="0000ee"/>
            <w:sz w:val="24"/>
            <w:szCs w:val="24"/>
            <w:u w:val="single"/>
            <w:rtl w:val="0"/>
          </w:rPr>
          <w:t xml:space="preserve">https://www.metroadjusters.com/new-california-insurance-laws-taking-effect-in-2026-what-policyholders-need-to-know/</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and Ecosystem Innovation Are Transforming Underwriting - Guidewire, accessed February 17, 2026, </w:t>
      </w:r>
      <w:hyperlink r:id="rId21">
        <w:r w:rsidDel="00000000" w:rsidR="00000000" w:rsidRPr="00000000">
          <w:rPr>
            <w:rFonts w:ascii="Google Sans" w:cs="Google Sans" w:eastAsia="Google Sans" w:hAnsi="Google Sans"/>
            <w:color w:val="0000ee"/>
            <w:sz w:val="24"/>
            <w:szCs w:val="24"/>
            <w:u w:val="single"/>
            <w:rtl w:val="0"/>
          </w:rPr>
          <w:t xml:space="preserve">https://www.guidewire.com/resources/blog/technology/how-ai-and-ecosystem-innovation-are-transforming-underwriting</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 Servicing Software in 2026: Loan Onboarding &amp; Payment Management Essentials, accessed February 17, 2026, </w:t>
      </w:r>
      <w:hyperlink r:id="rId22">
        <w:r w:rsidDel="00000000" w:rsidR="00000000" w:rsidRPr="00000000">
          <w:rPr>
            <w:rFonts w:ascii="Google Sans" w:cs="Google Sans" w:eastAsia="Google Sans" w:hAnsi="Google Sans"/>
            <w:color w:val="0000ee"/>
            <w:sz w:val="24"/>
            <w:szCs w:val="24"/>
            <w:u w:val="single"/>
            <w:rtl w:val="0"/>
          </w:rPr>
          <w:t xml:space="preserve">https://lendfoundry.com/blog/loan-servicing-software-in-2026-loan-onboarding-payment-management-essentials/</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Analytics for Underwriting - LexisNexis Risk Solutions, accessed February 17, 2026, </w:t>
      </w:r>
      <w:hyperlink r:id="rId23">
        <w:r w:rsidDel="00000000" w:rsidR="00000000" w:rsidRPr="00000000">
          <w:rPr>
            <w:rFonts w:ascii="Google Sans" w:cs="Google Sans" w:eastAsia="Google Sans" w:hAnsi="Google Sans"/>
            <w:color w:val="0000ee"/>
            <w:sz w:val="24"/>
            <w:szCs w:val="24"/>
            <w:u w:val="single"/>
            <w:rtl w:val="0"/>
          </w:rPr>
          <w:t xml:space="preserve">https://risk.lexisnexis.com/insurance/data-analytics-and-modeling/advanced-analytics-for-underwriting</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 Loan Origination Software of 2026 - defi SOLUTIONS, accessed February 17, 2026, </w:t>
      </w:r>
      <w:hyperlink r:id="rId24">
        <w:r w:rsidDel="00000000" w:rsidR="00000000" w:rsidRPr="00000000">
          <w:rPr>
            <w:rFonts w:ascii="Google Sans" w:cs="Google Sans" w:eastAsia="Google Sans" w:hAnsi="Google Sans"/>
            <w:color w:val="0000ee"/>
            <w:sz w:val="24"/>
            <w:szCs w:val="24"/>
            <w:u w:val="single"/>
            <w:rtl w:val="0"/>
          </w:rPr>
          <w:t xml:space="preserve">https://defisolutions.com/answers/best-auto-loan-origination-software/</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performance insights - Equifax, accessed February 17, 2026, </w:t>
      </w:r>
      <w:hyperlink r:id="rId25">
        <w:r w:rsidDel="00000000" w:rsidR="00000000" w:rsidRPr="00000000">
          <w:rPr>
            <w:rFonts w:ascii="Google Sans" w:cs="Google Sans" w:eastAsia="Google Sans" w:hAnsi="Google Sans"/>
            <w:color w:val="0000ee"/>
            <w:sz w:val="24"/>
            <w:szCs w:val="24"/>
            <w:u w:val="single"/>
            <w:rtl w:val="0"/>
          </w:rPr>
          <w:t xml:space="preserve">https://assets.equifax.com/marketing/US/assets/equifax-ignite-tradesight.pdf</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Lender Intelligence enhances financing accuracy and efficiency for auto dealerships - Zurich North America, accessed February 17, 2026, </w:t>
      </w:r>
      <w:hyperlink r:id="rId26">
        <w:r w:rsidDel="00000000" w:rsidR="00000000" w:rsidRPr="00000000">
          <w:rPr>
            <w:rFonts w:ascii="Google Sans" w:cs="Google Sans" w:eastAsia="Google Sans" w:hAnsi="Google Sans"/>
            <w:color w:val="0000ee"/>
            <w:sz w:val="24"/>
            <w:szCs w:val="24"/>
            <w:u w:val="single"/>
            <w:rtl w:val="0"/>
          </w:rPr>
          <w:t xml:space="preserve">https://www.zurichna.com/knowledge/articles/2026/01/automotive-lender-intelligence-enhances-financing-accuracy-and-efficiency-for-auto-dealerships</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Credit Decisioning Software in 2026, accessed February 17, 2026, </w:t>
      </w:r>
      <w:hyperlink r:id="rId27">
        <w:r w:rsidDel="00000000" w:rsidR="00000000" w:rsidRPr="00000000">
          <w:rPr>
            <w:rFonts w:ascii="Google Sans" w:cs="Google Sans" w:eastAsia="Google Sans" w:hAnsi="Google Sans"/>
            <w:color w:val="0000ee"/>
            <w:sz w:val="24"/>
            <w:szCs w:val="24"/>
            <w:u w:val="single"/>
            <w:rtl w:val="0"/>
          </w:rPr>
          <w:t xml:space="preserve">https://hesfintech.com/blog/best-credit-decisioning-software/</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Auto Finance Compliance Trends: What Lenders Need to Know Now - Snell &amp; Wilmer, accessed February 17, 2026, </w:t>
      </w:r>
      <w:hyperlink r:id="rId28">
        <w:r w:rsidDel="00000000" w:rsidR="00000000" w:rsidRPr="00000000">
          <w:rPr>
            <w:rFonts w:ascii="Google Sans" w:cs="Google Sans" w:eastAsia="Google Sans" w:hAnsi="Google Sans"/>
            <w:color w:val="0000ee"/>
            <w:sz w:val="24"/>
            <w:szCs w:val="24"/>
            <w:u w:val="single"/>
            <w:rtl w:val="0"/>
          </w:rPr>
          <w:t xml:space="preserve">https://www.swlaw.com/publication/2026-auto-finance-compliance-trends-what-lenders-need-to-know-now/</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Best Practices for Pricing Analytics in Auto Finance ..., accessed February 17, 2026, </w:t>
      </w:r>
      <w:hyperlink r:id="rId29">
        <w:r w:rsidDel="00000000" w:rsidR="00000000" w:rsidRPr="00000000">
          <w:rPr>
            <w:rFonts w:ascii="Google Sans" w:cs="Google Sans" w:eastAsia="Google Sans" w:hAnsi="Google Sans"/>
            <w:color w:val="0000ee"/>
            <w:sz w:val="24"/>
            <w:szCs w:val="24"/>
            <w:u w:val="single"/>
            <w:rtl w:val="0"/>
          </w:rPr>
          <w:t xml:space="preserve">https://earnix.com/blog/operationalizing-pricing-analytics-auto-finance/</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BHPH Portfolio KPIs and Dashboards: What to Track Weekly (and When to Hold vs Sell Your Book) - DealerClick, accessed February 17, 2026, </w:t>
      </w:r>
      <w:hyperlink r:id="rId30">
        <w:r w:rsidDel="00000000" w:rsidR="00000000" w:rsidRPr="00000000">
          <w:rPr>
            <w:rFonts w:ascii="Google Sans" w:cs="Google Sans" w:eastAsia="Google Sans" w:hAnsi="Google Sans"/>
            <w:color w:val="0000ee"/>
            <w:sz w:val="24"/>
            <w:szCs w:val="24"/>
            <w:u w:val="single"/>
            <w:rtl w:val="0"/>
          </w:rPr>
          <w:t xml:space="preserve">https://dealerclick.com/blog/bhph-portfolio-kpis-dashboard-hold-vs-sell</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Guaranteed Asset Protection (GAP) Quick Reference Card - Western Division Credit Union, accessed February 17, 2026, </w:t>
      </w:r>
      <w:hyperlink r:id="rId31">
        <w:r w:rsidDel="00000000" w:rsidR="00000000" w:rsidRPr="00000000">
          <w:rPr>
            <w:rFonts w:ascii="Google Sans" w:cs="Google Sans" w:eastAsia="Google Sans" w:hAnsi="Google Sans"/>
            <w:color w:val="0000ee"/>
            <w:sz w:val="24"/>
            <w:szCs w:val="24"/>
            <w:u w:val="single"/>
            <w:rtl w:val="0"/>
          </w:rPr>
          <w:t xml:space="preserve">https://www.westerndivision.org/wp-content/uploads/2023/01/GAP.pdf</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Geospatial Property Intelligence &amp; GIS for Risk Assessment - Duck Creek, accessed February 17, 2026, </w:t>
      </w:r>
      <w:hyperlink r:id="rId32">
        <w:r w:rsidDel="00000000" w:rsidR="00000000" w:rsidRPr="00000000">
          <w:rPr>
            <w:rFonts w:ascii="Google Sans" w:cs="Google Sans" w:eastAsia="Google Sans" w:hAnsi="Google Sans"/>
            <w:color w:val="0000ee"/>
            <w:sz w:val="24"/>
            <w:szCs w:val="24"/>
            <w:u w:val="single"/>
            <w:rtl w:val="0"/>
          </w:rPr>
          <w:t xml:space="preserve">https://www.duckcreek.com/blog/blog-geospatial-gis/</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Geospatial Trends for P&amp;C Insurance in 2024 - Ecopia AI, accessed February 17, 2026, </w:t>
      </w:r>
      <w:hyperlink r:id="rId33">
        <w:r w:rsidDel="00000000" w:rsidR="00000000" w:rsidRPr="00000000">
          <w:rPr>
            <w:rFonts w:ascii="Google Sans" w:cs="Google Sans" w:eastAsia="Google Sans" w:hAnsi="Google Sans"/>
            <w:color w:val="0000ee"/>
            <w:sz w:val="24"/>
            <w:szCs w:val="24"/>
            <w:u w:val="single"/>
            <w:rtl w:val="0"/>
          </w:rPr>
          <w:t xml:space="preserve">https://www.ecopiatech.com/resources/blog/top-5-geospatial-trends-for-pc-insurance-in-2024</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Geospatial Imagery and AI Unite to Create a Powerful Tool for P&amp;C, accessed February 17, 2026, </w:t>
      </w:r>
      <w:hyperlink r:id="rId34">
        <w:r w:rsidDel="00000000" w:rsidR="00000000" w:rsidRPr="00000000">
          <w:rPr>
            <w:rFonts w:ascii="Google Sans" w:cs="Google Sans" w:eastAsia="Google Sans" w:hAnsi="Google Sans"/>
            <w:color w:val="0000ee"/>
            <w:sz w:val="24"/>
            <w:szCs w:val="24"/>
            <w:u w:val="single"/>
            <w:rtl w:val="0"/>
          </w:rPr>
          <w:t xml:space="preserve">https://www.casact.org/article/geospatial-imagery-and-ai-unite-create-powerful-tool-pc</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GIS Data is Transforming the Insurance Industry - Intellias, accessed February 17, 2026, </w:t>
      </w:r>
      <w:hyperlink r:id="rId35">
        <w:r w:rsidDel="00000000" w:rsidR="00000000" w:rsidRPr="00000000">
          <w:rPr>
            <w:rFonts w:ascii="Google Sans" w:cs="Google Sans" w:eastAsia="Google Sans" w:hAnsi="Google Sans"/>
            <w:color w:val="0000ee"/>
            <w:sz w:val="24"/>
            <w:szCs w:val="24"/>
            <w:u w:val="single"/>
            <w:rtl w:val="0"/>
          </w:rPr>
          <w:t xml:space="preserve">https://intellias.com/geospatial-data-for-insurance-industry/</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Wildfire Risk and Mitigation Analytics with FireLine - Verisk, accessed February 17, 2026, </w:t>
      </w:r>
      <w:hyperlink r:id="rId36">
        <w:r w:rsidDel="00000000" w:rsidR="00000000" w:rsidRPr="00000000">
          <w:rPr>
            <w:rFonts w:ascii="Google Sans" w:cs="Google Sans" w:eastAsia="Google Sans" w:hAnsi="Google Sans"/>
            <w:color w:val="0000ee"/>
            <w:sz w:val="24"/>
            <w:szCs w:val="24"/>
            <w:u w:val="single"/>
            <w:rtl w:val="0"/>
          </w:rPr>
          <w:t xml:space="preserve">https://www.verisk.com/products/fireline/</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Underwriting with AI-Powered Data &amp; Workflow Automation - Verisk, accessed February 17, 2026, </w:t>
      </w:r>
      <w:hyperlink r:id="rId37">
        <w:r w:rsidDel="00000000" w:rsidR="00000000" w:rsidRPr="00000000">
          <w:rPr>
            <w:rFonts w:ascii="Google Sans" w:cs="Google Sans" w:eastAsia="Google Sans" w:hAnsi="Google Sans"/>
            <w:color w:val="0000ee"/>
            <w:sz w:val="24"/>
            <w:szCs w:val="24"/>
            <w:u w:val="single"/>
            <w:rtl w:val="0"/>
          </w:rPr>
          <w:t xml:space="preserve">https://www.verisk.com/resources/campaigns/generative-ai-commercial-underwriting-assistant/</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Data Report - LexisNexis Risk Solutions, accessed February 17, 2026, </w:t>
      </w:r>
      <w:hyperlink r:id="rId38">
        <w:r w:rsidDel="00000000" w:rsidR="00000000" w:rsidRPr="00000000">
          <w:rPr>
            <w:rFonts w:ascii="Google Sans" w:cs="Google Sans" w:eastAsia="Google Sans" w:hAnsi="Google Sans"/>
            <w:color w:val="0000ee"/>
            <w:sz w:val="24"/>
            <w:szCs w:val="24"/>
            <w:u w:val="single"/>
            <w:rtl w:val="0"/>
          </w:rPr>
          <w:t xml:space="preserve">https://risk.lexisnexis.com/products/property-data-report</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Prefill for Home Insurance - LexisNexis Risk Solutions, accessed February 17, 2026, </w:t>
      </w:r>
      <w:hyperlink r:id="rId39">
        <w:r w:rsidDel="00000000" w:rsidR="00000000" w:rsidRPr="00000000">
          <w:rPr>
            <w:rFonts w:ascii="Google Sans" w:cs="Google Sans" w:eastAsia="Google Sans" w:hAnsi="Google Sans"/>
            <w:color w:val="0000ee"/>
            <w:sz w:val="24"/>
            <w:szCs w:val="24"/>
            <w:u w:val="single"/>
            <w:rtl w:val="0"/>
          </w:rPr>
          <w:t xml:space="preserve">https://risk.lexisnexis.com/products/property-data-prefill</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HazardHub Risk Data for Assessment &amp; Underwriting - Guidewire, accessed February 17, 2026, </w:t>
      </w:r>
      <w:hyperlink r:id="rId40">
        <w:r w:rsidDel="00000000" w:rsidR="00000000" w:rsidRPr="00000000">
          <w:rPr>
            <w:rFonts w:ascii="Google Sans" w:cs="Google Sans" w:eastAsia="Google Sans" w:hAnsi="Google Sans"/>
            <w:color w:val="0000ee"/>
            <w:sz w:val="24"/>
            <w:szCs w:val="24"/>
            <w:u w:val="single"/>
            <w:rtl w:val="0"/>
          </w:rPr>
          <w:t xml:space="preserve">https://www.guidewire.com/products/analytics/hazardhub-risk-data</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Home Insurer Allowed to Drop 1300-Plus Policies in High Wildfire Risk Areas | Insu - InsuranceNewsNet, accessed February 17, 2026, </w:t>
      </w:r>
      <w:hyperlink r:id="rId41">
        <w:r w:rsidDel="00000000" w:rsidR="00000000" w:rsidRPr="00000000">
          <w:rPr>
            <w:rFonts w:ascii="Google Sans" w:cs="Google Sans" w:eastAsia="Google Sans" w:hAnsi="Google Sans"/>
            <w:color w:val="0000ee"/>
            <w:sz w:val="24"/>
            <w:szCs w:val="24"/>
            <w:u w:val="single"/>
            <w:rtl w:val="0"/>
          </w:rPr>
          <w:t xml:space="preserve">https://insurancenewsnet.com/oarticle/california-home-insurer-allowed-to-drop-1300-plus-policies-in-high-wildfire-risk-areas-insu</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Loss Protection (GAP): An Essential F&amp;I Product for Dealerships - JM&amp;A Group, accessed February 17, 2026, </w:t>
      </w:r>
      <w:hyperlink r:id="rId42">
        <w:r w:rsidDel="00000000" w:rsidR="00000000" w:rsidRPr="00000000">
          <w:rPr>
            <w:rFonts w:ascii="Google Sans" w:cs="Google Sans" w:eastAsia="Google Sans" w:hAnsi="Google Sans"/>
            <w:color w:val="0000ee"/>
            <w:sz w:val="24"/>
            <w:szCs w:val="24"/>
            <w:u w:val="single"/>
            <w:rtl w:val="0"/>
          </w:rPr>
          <w:t xml:space="preserve">https://www.jmagroup.com/finance-and-insurance/products/gap-total-loss-protection</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Guaranteed Asset Protection (GAP) - Total Warranty Services, accessed February 17, 2026, </w:t>
      </w:r>
      <w:hyperlink r:id="rId43">
        <w:r w:rsidDel="00000000" w:rsidR="00000000" w:rsidRPr="00000000">
          <w:rPr>
            <w:rFonts w:ascii="Google Sans" w:cs="Google Sans" w:eastAsia="Google Sans" w:hAnsi="Google Sans"/>
            <w:color w:val="0000ee"/>
            <w:sz w:val="24"/>
            <w:szCs w:val="24"/>
            <w:u w:val="single"/>
            <w:rtl w:val="0"/>
          </w:rPr>
          <w:t xml:space="preserve">https://www.firstmilewarranty.com/products/guaranteed-asset-protection-gap/</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GAP Is GAP, Right? - Auto Finance - F&amp;I and Showroom, accessed February 17, 2026, </w:t>
      </w:r>
      <w:hyperlink r:id="rId44">
        <w:r w:rsidDel="00000000" w:rsidR="00000000" w:rsidRPr="00000000">
          <w:rPr>
            <w:rFonts w:ascii="Google Sans" w:cs="Google Sans" w:eastAsia="Google Sans" w:hAnsi="Google Sans"/>
            <w:color w:val="0000ee"/>
            <w:sz w:val="24"/>
            <w:szCs w:val="24"/>
            <w:u w:val="single"/>
            <w:rtl w:val="0"/>
          </w:rPr>
          <w:t xml:space="preserve">https://www.fi-magazine.com/310763/gap-is-gap-right</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GAP Frequently Asked Questions - Protective Asset Protection, accessed February 17, 2026, </w:t>
      </w:r>
      <w:hyperlink r:id="rId45">
        <w:r w:rsidDel="00000000" w:rsidR="00000000" w:rsidRPr="00000000">
          <w:rPr>
            <w:rFonts w:ascii="Google Sans" w:cs="Google Sans" w:eastAsia="Google Sans" w:hAnsi="Google Sans"/>
            <w:color w:val="0000ee"/>
            <w:sz w:val="24"/>
            <w:szCs w:val="24"/>
            <w:u w:val="single"/>
            <w:rtl w:val="0"/>
          </w:rPr>
          <w:t xml:space="preserve">https://www.protectiveassetprotection.com/existing-customers/gapfrequentlyaskedquestions</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Guidewire vs Majesco 2026 | Gartner Peer Insights, accessed February 17, 2026, </w:t>
      </w:r>
      <w:hyperlink r:id="rId46">
        <w:r w:rsidDel="00000000" w:rsidR="00000000" w:rsidRPr="00000000">
          <w:rPr>
            <w:rFonts w:ascii="Google Sans" w:cs="Google Sans" w:eastAsia="Google Sans" w:hAnsi="Google Sans"/>
            <w:color w:val="0000ee"/>
            <w:sz w:val="24"/>
            <w:szCs w:val="24"/>
            <w:u w:val="single"/>
            <w:rtl w:val="0"/>
          </w:rPr>
          <w:t xml:space="preserve">https://www.gartner.com/reviews/market/saas-p-and-c-insurance-core-platforms-north-america/compare/guidewire-vs-majesco</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Insurance Industry Trends for 2026 | Send, accessed February 17, 2026, </w:t>
      </w:r>
      <w:hyperlink r:id="rId47">
        <w:r w:rsidDel="00000000" w:rsidR="00000000" w:rsidRPr="00000000">
          <w:rPr>
            <w:rFonts w:ascii="Google Sans" w:cs="Google Sans" w:eastAsia="Google Sans" w:hAnsi="Google Sans"/>
            <w:color w:val="0000ee"/>
            <w:sz w:val="24"/>
            <w:szCs w:val="24"/>
            <w:u w:val="single"/>
            <w:rtl w:val="0"/>
          </w:rPr>
          <w:t xml:space="preserve">https://send.technology/resources/blog/top-10-insurance-industry-trends-shaping-underwriting-in-2026/</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Design Trends for 2026 — From AI to XR to Vibe Creation | by Punit Chawla | Medium, accessed February 17, 2026, </w:t>
      </w:r>
      <w:hyperlink r:id="rId48">
        <w:r w:rsidDel="00000000" w:rsidR="00000000" w:rsidRPr="00000000">
          <w:rPr>
            <w:rFonts w:ascii="Google Sans" w:cs="Google Sans" w:eastAsia="Google Sans" w:hAnsi="Google Sans"/>
            <w:color w:val="0000ee"/>
            <w:sz w:val="24"/>
            <w:szCs w:val="24"/>
            <w:u w:val="single"/>
            <w:rtl w:val="0"/>
          </w:rPr>
          <w:t xml:space="preserve">https://blog.prototypr.io/ux-ui-design-trends-for-2026-from-ai-to-xr-to-vibe-creation-7c5f8e35dc1d</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Trends to Know For 2026 | Insurance Software Suite - Finys, accessed February 17, 2026, </w:t>
      </w:r>
      <w:hyperlink r:id="rId49">
        <w:r w:rsidDel="00000000" w:rsidR="00000000" w:rsidRPr="00000000">
          <w:rPr>
            <w:rFonts w:ascii="Google Sans" w:cs="Google Sans" w:eastAsia="Google Sans" w:hAnsi="Google Sans"/>
            <w:color w:val="0000ee"/>
            <w:sz w:val="24"/>
            <w:szCs w:val="24"/>
            <w:u w:val="single"/>
            <w:rtl w:val="0"/>
          </w:rPr>
          <w:t xml:space="preserve">https://finys.com/insurance-trends-2026/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uidewire.com/products/analytics/hazardhub-risk-data" TargetMode="External"/><Relationship Id="rId42" Type="http://schemas.openxmlformats.org/officeDocument/2006/relationships/hyperlink" Target="https://www.jmagroup.com/finance-and-insurance/products/gap-total-loss-protection" TargetMode="External"/><Relationship Id="rId41" Type="http://schemas.openxmlformats.org/officeDocument/2006/relationships/hyperlink" Target="https://insurancenewsnet.com/oarticle/california-home-insurer-allowed-to-drop-1300-plus-policies-in-high-wildfire-risk-areas-insu" TargetMode="External"/><Relationship Id="rId44" Type="http://schemas.openxmlformats.org/officeDocument/2006/relationships/hyperlink" Target="https://www.fi-magazine.com/310763/gap-is-gap-right" TargetMode="External"/><Relationship Id="rId43" Type="http://schemas.openxmlformats.org/officeDocument/2006/relationships/hyperlink" Target="https://www.firstmilewarranty.com/products/guaranteed-asset-protection-gap/" TargetMode="External"/><Relationship Id="rId46" Type="http://schemas.openxmlformats.org/officeDocument/2006/relationships/hyperlink" Target="https://www.gartner.com/reviews/market/saas-p-and-c-insurance-core-platforms-north-america/compare/guidewire-vs-majesco" TargetMode="External"/><Relationship Id="rId45" Type="http://schemas.openxmlformats.org/officeDocument/2006/relationships/hyperlink" Target="https://www.protectiveassetprotection.com/existing-customers/gapfrequentlyaskedques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idewire.com/products/core-products/insurancesuite/underwritingcenter-insurance-underwriting-software" TargetMode="External"/><Relationship Id="rId48" Type="http://schemas.openxmlformats.org/officeDocument/2006/relationships/hyperlink" Target="https://blog.prototypr.io/ux-ui-design-trends-for-2026-from-ai-to-xr-to-vibe-creation-7c5f8e35dc1d" TargetMode="External"/><Relationship Id="rId47" Type="http://schemas.openxmlformats.org/officeDocument/2006/relationships/hyperlink" Target="https://send.technology/resources/blog/top-10-insurance-industry-trends-shaping-underwriting-in-2026/" TargetMode="External"/><Relationship Id="rId49" Type="http://schemas.openxmlformats.org/officeDocument/2006/relationships/hyperlink" Target="https://finys.com/insurance-trends-202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guidewire.com/resources/blog/industry-trends/insurance-technology-trends" TargetMode="External"/><Relationship Id="rId31" Type="http://schemas.openxmlformats.org/officeDocument/2006/relationships/hyperlink" Target="https://www.westerndivision.org/wp-content/uploads/2023/01/GAP.pdf" TargetMode="External"/><Relationship Id="rId30" Type="http://schemas.openxmlformats.org/officeDocument/2006/relationships/hyperlink" Target="https://dealerclick.com/blog/bhph-portfolio-kpis-dashboard-hold-vs-sell" TargetMode="External"/><Relationship Id="rId33" Type="http://schemas.openxmlformats.org/officeDocument/2006/relationships/hyperlink" Target="https://www.ecopiatech.com/resources/blog/top-5-geospatial-trends-for-pc-insurance-in-2024" TargetMode="External"/><Relationship Id="rId32" Type="http://schemas.openxmlformats.org/officeDocument/2006/relationships/hyperlink" Target="https://www.duckcreek.com/blog/blog-geospatial-gis/" TargetMode="External"/><Relationship Id="rId35" Type="http://schemas.openxmlformats.org/officeDocument/2006/relationships/hyperlink" Target="https://intellias.com/geospatial-data-for-insurance-industry/" TargetMode="External"/><Relationship Id="rId34" Type="http://schemas.openxmlformats.org/officeDocument/2006/relationships/hyperlink" Target="https://www.casact.org/article/geospatial-imagery-and-ai-unite-create-powerful-tool-pc" TargetMode="External"/><Relationship Id="rId37" Type="http://schemas.openxmlformats.org/officeDocument/2006/relationships/hyperlink" Target="https://www.verisk.com/resources/campaigns/generative-ai-commercial-underwriting-assistant/" TargetMode="External"/><Relationship Id="rId36" Type="http://schemas.openxmlformats.org/officeDocument/2006/relationships/hyperlink" Target="https://www.verisk.com/products/fireline/" TargetMode="External"/><Relationship Id="rId39" Type="http://schemas.openxmlformats.org/officeDocument/2006/relationships/hyperlink" Target="https://risk.lexisnexis.com/products/property-data-prefill" TargetMode="External"/><Relationship Id="rId38" Type="http://schemas.openxmlformats.org/officeDocument/2006/relationships/hyperlink" Target="https://risk.lexisnexis.com/products/property-data-report" TargetMode="External"/><Relationship Id="rId20" Type="http://schemas.openxmlformats.org/officeDocument/2006/relationships/hyperlink" Target="https://www.metroadjusters.com/new-california-insurance-laws-taking-effect-in-2026-what-policyholders-need-to-know/" TargetMode="External"/><Relationship Id="rId22" Type="http://schemas.openxmlformats.org/officeDocument/2006/relationships/hyperlink" Target="https://lendfoundry.com/blog/loan-servicing-software-in-2026-loan-onboarding-payment-management-essentials/" TargetMode="External"/><Relationship Id="rId21" Type="http://schemas.openxmlformats.org/officeDocument/2006/relationships/hyperlink" Target="https://www.guidewire.com/resources/blog/technology/how-ai-and-ecosystem-innovation-are-transforming-underwriting" TargetMode="External"/><Relationship Id="rId24" Type="http://schemas.openxmlformats.org/officeDocument/2006/relationships/hyperlink" Target="https://defisolutions.com/answers/best-auto-loan-origination-software/" TargetMode="External"/><Relationship Id="rId23" Type="http://schemas.openxmlformats.org/officeDocument/2006/relationships/hyperlink" Target="https://risk.lexisnexis.com/insurance/data-analytics-and-modeling/advanced-analytics-for-underwriting" TargetMode="External"/><Relationship Id="rId26" Type="http://schemas.openxmlformats.org/officeDocument/2006/relationships/hyperlink" Target="https://www.zurichna.com/knowledge/articles/2026/01/automotive-lender-intelligence-enhances-financing-accuracy-and-efficiency-for-auto-dealerships" TargetMode="External"/><Relationship Id="rId25" Type="http://schemas.openxmlformats.org/officeDocument/2006/relationships/hyperlink" Target="https://assets.equifax.com/marketing/US/assets/equifax-ignite-tradesight.pdf" TargetMode="External"/><Relationship Id="rId28" Type="http://schemas.openxmlformats.org/officeDocument/2006/relationships/hyperlink" Target="https://www.swlaw.com/publication/2026-auto-finance-compliance-trends-what-lenders-need-to-know-now/" TargetMode="External"/><Relationship Id="rId27" Type="http://schemas.openxmlformats.org/officeDocument/2006/relationships/hyperlink" Target="https://hesfintech.com/blog/best-credit-decisioning-software/" TargetMode="External"/><Relationship Id="rId29" Type="http://schemas.openxmlformats.org/officeDocument/2006/relationships/hyperlink" Target="https://earnix.com/blog/operationalizing-pricing-analytics-auto-finance/" TargetMode="External"/><Relationship Id="rId11" Type="http://schemas.openxmlformats.org/officeDocument/2006/relationships/hyperlink" Target="https://www.insurancejournal.com/blogs/selectsys/2026/01/26/855449.htm" TargetMode="External"/><Relationship Id="rId10" Type="http://schemas.openxmlformats.org/officeDocument/2006/relationships/hyperlink" Target="https://www.decerto.com/post/what-is-an-underwriting-workbench" TargetMode="External"/><Relationship Id="rId13" Type="http://schemas.openxmlformats.org/officeDocument/2006/relationships/hyperlink" Target="https://www.majesco.com/eguides/intelligent-sales-underwriting-workbench-simplifying-quote-rate-and-renewal-processes/" TargetMode="External"/><Relationship Id="rId12" Type="http://schemas.openxmlformats.org/officeDocument/2006/relationships/hyperlink" Target="https://www.guidewire.com/products/solutions/solutions-for-the-insurance-lifecycle/underwriting" TargetMode="External"/><Relationship Id="rId15" Type="http://schemas.openxmlformats.org/officeDocument/2006/relationships/hyperlink" Target="https://www.v7labs.com/blog/generative-ai-in-insurance" TargetMode="External"/><Relationship Id="rId14" Type="http://schemas.openxmlformats.org/officeDocument/2006/relationships/hyperlink" Target="https://quarticle.ch/solutions/ai-geointelligence-insurance" TargetMode="External"/><Relationship Id="rId17" Type="http://schemas.openxmlformats.org/officeDocument/2006/relationships/hyperlink" Target="https://insurnest.com/agent-details/insurance/underwriting/underwriting-risk-assessment-ai-agent-in-underwriting-of-insurance" TargetMode="External"/><Relationship Id="rId16" Type="http://schemas.openxmlformats.org/officeDocument/2006/relationships/hyperlink" Target="https://insurnest.com/agent-details/insurance/underwriting/underwriting-discrepancy-detector-ai-agent-in-underwriting-of-insurance/" TargetMode="External"/><Relationship Id="rId19" Type="http://schemas.openxmlformats.org/officeDocument/2006/relationships/hyperlink" Target="https://tyk.io/blog/2026-the-year-apis-and-ai-become-non-negotiable-for-financial-services/" TargetMode="External"/><Relationship Id="rId18" Type="http://schemas.openxmlformats.org/officeDocument/2006/relationships/hyperlink" Target="https://arxiv.org/html/2602.13213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