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A63"/>
          <w:sz w:val="40"/>
        </w:rPr>
        <w:t>KAPTURE FINANCE – COLLECTIONS VOICEBOT (MAYA)</w:t>
      </w:r>
    </w:p>
    <w:p>
      <w:pPr>
        <w:jc w:val="center"/>
      </w:pPr>
      <w:r>
        <w:rPr>
          <w:b/>
        </w:rPr>
        <w:t>High-Level Design (HLD) | AI Delivery Intern Take-Home Assignment</w:t>
      </w:r>
    </w:p>
    <w:p>
      <w:pPr>
        <w:pStyle w:val="Heading1"/>
      </w:pPr>
      <w:r>
        <w:t>1. Overview &amp; Objectives</w:t>
      </w:r>
    </w:p>
    <w:p>
      <w:r>
        <w:t>Maya is an outbound AI voice collections agent for Kapture Finance. It authenticates the intended customer before disclosing debt information, explains the overdue EMI, understands intent, and drives an appropriate next step such as promise-to-pay (PTP), payment-link delivery, callback, or escalation. The design prioritizes authentication, fair-collection behavior, data minimization, deterministic state control, and observability.</w:t>
      </w:r>
    </w:p>
    <w:p>
      <w:pPr>
        <w:pStyle w:val="ListBullet"/>
      </w:pPr>
      <w:r>
        <w:t>Authenticate before any debt/overdue information is disclosed.</w:t>
      </w:r>
    </w:p>
    <w:p>
      <w:pPr>
        <w:pStyle w:val="ListBullet"/>
      </w:pPr>
      <w:r>
        <w:t>Use clear self/company/purpose disclosure and respectful tone.</w:t>
      </w:r>
    </w:p>
    <w:p>
      <w:pPr>
        <w:pStyle w:val="ListBullet"/>
      </w:pPr>
      <w:r>
        <w:t>Capture payment intent, PTP date/amount, payment mode, and disputes.</w:t>
      </w:r>
    </w:p>
    <w:p>
      <w:pPr>
        <w:pStyle w:val="ListBullet"/>
      </w:pPr>
      <w:r>
        <w:t>Support mocked payment-link delivery.</w:t>
      </w:r>
    </w:p>
    <w:p>
      <w:pPr>
        <w:pStyle w:val="ListBullet"/>
      </w:pPr>
      <w:r>
        <w:t>Handle already-paid, hardship, dispute, wrong-person, DNC, hostile, voicemail/no-input, and callback scenarios.</w:t>
      </w:r>
    </w:p>
    <w:p>
      <w:pPr>
        <w:pStyle w:val="ListBullet"/>
      </w:pPr>
      <w:r>
        <w:t>Log a disposition for every completed or terminated call.</w:t>
      </w:r>
    </w:p>
    <w:p>
      <w:pPr>
        <w:pStyle w:val="Heading1"/>
      </w:pPr>
      <w:r>
        <w:t>2. Architecture &amp; Pipeline</w:t>
      </w:r>
    </w:p>
    <w:p>
      <w:r>
        <w:drawing>
          <wp:inline xmlns:a="http://schemas.openxmlformats.org/drawingml/2006/main" xmlns:pic="http://schemas.openxmlformats.org/drawingml/2006/picture">
            <wp:extent cx="6217920" cy="9326880"/>
            <wp:docPr id="1" name="Picture 1"/>
            <wp:cNvGraphicFramePr>
              <a:graphicFrameLocks noChangeAspect="1"/>
            </wp:cNvGraphicFramePr>
            <a:graphic>
              <a:graphicData uri="http://schemas.openxmlformats.org/drawingml/2006/picture">
                <pic:pic>
                  <pic:nvPicPr>
                    <pic:cNvPr id="0" name="a_clean_professional_technical_design_document_pa.png"/>
                    <pic:cNvPicPr/>
                  </pic:nvPicPr>
                  <pic:blipFill>
                    <a:blip r:embed="rId9"/>
                    <a:stretch>
                      <a:fillRect/>
                    </a:stretch>
                  </pic:blipFill>
                  <pic:spPr>
                    <a:xfrm>
                      <a:off x="0" y="0"/>
                      <a:ext cx="6217920" cy="9326880"/>
                    </a:xfrm>
                    <a:prstGeom prst="rect"/>
                  </pic:spPr>
                </pic:pic>
              </a:graphicData>
            </a:graphic>
          </wp:inline>
        </w:drawing>
      </w:r>
    </w:p>
    <w:p>
      <w:pPr>
        <w:jc w:val="center"/>
      </w:pPr>
      <w:r>
        <w:t>Figure 1. Reference architecture and conversation state design.</w:t>
      </w:r>
    </w:p>
    <w:p>
      <w:r>
        <w:t>Pipeline: Telephony → STT → Vapi assistant/orchestrator + LLM → TTS → customer. The assistant invokes scoped HTTPS webhook tools. A datastore/CRM records verification results, call events, dispositions, and operational metrics. The current Vapi build implements verify_customer, log_promise_to_pay, and send_payment_link; production design additionally recommends escalate_to_agent and mark_disposition.</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163A63"/>
          </w:tcPr>
          <w:p>
            <w:r/>
            <w:r>
              <w:rPr>
                <w:b/>
                <w:color w:val="FFFFFF"/>
                <w:sz w:val="17"/>
              </w:rPr>
              <w:t>Hop</w:t>
            </w:r>
          </w:p>
        </w:tc>
        <w:tc>
          <w:tcPr>
            <w:tcW w:type="dxa" w:w="3504"/>
            <w:vAlign w:val="center"/>
            <w:shd w:fill="163A63"/>
          </w:tcPr>
          <w:p>
            <w:r/>
            <w:r>
              <w:rPr>
                <w:b/>
                <w:color w:val="FFFFFF"/>
                <w:sz w:val="17"/>
              </w:rPr>
              <w:t>Target latency</w:t>
            </w:r>
          </w:p>
        </w:tc>
        <w:tc>
          <w:tcPr>
            <w:tcW w:type="dxa" w:w="3504"/>
            <w:vAlign w:val="center"/>
            <w:shd w:fill="163A63"/>
          </w:tcPr>
          <w:p>
            <w:r/>
            <w:r>
              <w:rPr>
                <w:b/>
                <w:color w:val="FFFFFF"/>
                <w:sz w:val="17"/>
              </w:rPr>
              <w:t>Design note</w:t>
            </w:r>
          </w:p>
        </w:tc>
      </w:tr>
      <w:tr>
        <w:tc>
          <w:tcPr>
            <w:tcW w:type="dxa" w:w="3504"/>
            <w:vAlign w:val="center"/>
          </w:tcPr>
          <w:p>
            <w:r/>
            <w:r>
              <w:rPr>
                <w:b w:val="0"/>
                <w:sz w:val="17"/>
              </w:rPr>
              <w:t>Telephony connect</w:t>
            </w:r>
          </w:p>
        </w:tc>
        <w:tc>
          <w:tcPr>
            <w:tcW w:type="dxa" w:w="3504"/>
            <w:vAlign w:val="center"/>
          </w:tcPr>
          <w:p>
            <w:r/>
            <w:r>
              <w:rPr>
                <w:b w:val="0"/>
                <w:sz w:val="17"/>
              </w:rPr>
              <w:t>1–2 s</w:t>
            </w:r>
          </w:p>
        </w:tc>
        <w:tc>
          <w:tcPr>
            <w:tcW w:type="dxa" w:w="3504"/>
            <w:vAlign w:val="center"/>
          </w:tcPr>
          <w:p>
            <w:r/>
            <w:r>
              <w:rPr>
                <w:b w:val="0"/>
                <w:sz w:val="17"/>
              </w:rPr>
              <w:t>Connection/setup target</w:t>
            </w:r>
          </w:p>
        </w:tc>
      </w:tr>
      <w:tr>
        <w:tc>
          <w:tcPr>
            <w:tcW w:type="dxa" w:w="3504"/>
            <w:vAlign w:val="center"/>
          </w:tcPr>
          <w:p>
            <w:r/>
            <w:r>
              <w:rPr>
                <w:b w:val="0"/>
                <w:sz w:val="17"/>
              </w:rPr>
              <w:t>STT</w:t>
            </w:r>
          </w:p>
        </w:tc>
        <w:tc>
          <w:tcPr>
            <w:tcW w:type="dxa" w:w="3504"/>
            <w:vAlign w:val="center"/>
          </w:tcPr>
          <w:p>
            <w:r/>
            <w:r>
              <w:rPr>
                <w:b w:val="0"/>
                <w:sz w:val="17"/>
              </w:rPr>
              <w:t>0.6–1.2 s</w:t>
            </w:r>
          </w:p>
        </w:tc>
        <w:tc>
          <w:tcPr>
            <w:tcW w:type="dxa" w:w="3504"/>
            <w:vAlign w:val="center"/>
          </w:tcPr>
          <w:p>
            <w:r/>
            <w:r>
              <w:rPr>
                <w:b w:val="0"/>
                <w:sz w:val="17"/>
              </w:rPr>
              <w:t>Streaming transcription</w:t>
            </w:r>
          </w:p>
        </w:tc>
      </w:tr>
      <w:tr>
        <w:tc>
          <w:tcPr>
            <w:tcW w:type="dxa" w:w="3504"/>
            <w:vAlign w:val="center"/>
          </w:tcPr>
          <w:p>
            <w:r/>
            <w:r>
              <w:rPr>
                <w:b w:val="0"/>
                <w:sz w:val="17"/>
              </w:rPr>
              <w:t>LLM/orchestrator</w:t>
            </w:r>
          </w:p>
        </w:tc>
        <w:tc>
          <w:tcPr>
            <w:tcW w:type="dxa" w:w="3504"/>
            <w:vAlign w:val="center"/>
          </w:tcPr>
          <w:p>
            <w:r/>
            <w:r>
              <w:rPr>
                <w:b w:val="0"/>
                <w:sz w:val="17"/>
              </w:rPr>
              <w:t>1–2 s</w:t>
            </w:r>
          </w:p>
        </w:tc>
        <w:tc>
          <w:tcPr>
            <w:tcW w:type="dxa" w:w="3504"/>
            <w:vAlign w:val="center"/>
          </w:tcPr>
          <w:p>
            <w:r/>
            <w:r>
              <w:rPr>
                <w:b w:val="0"/>
                <w:sz w:val="17"/>
              </w:rPr>
              <w:t>Short prompts + state/tool gates</w:t>
            </w:r>
          </w:p>
        </w:tc>
      </w:tr>
      <w:tr>
        <w:tc>
          <w:tcPr>
            <w:tcW w:type="dxa" w:w="3504"/>
            <w:vAlign w:val="center"/>
          </w:tcPr>
          <w:p>
            <w:r/>
            <w:r>
              <w:rPr>
                <w:b w:val="0"/>
                <w:sz w:val="17"/>
              </w:rPr>
              <w:t>Tool/API</w:t>
            </w:r>
          </w:p>
        </w:tc>
        <w:tc>
          <w:tcPr>
            <w:tcW w:type="dxa" w:w="3504"/>
            <w:vAlign w:val="center"/>
          </w:tcPr>
          <w:p>
            <w:r/>
            <w:r>
              <w:rPr>
                <w:b w:val="0"/>
                <w:sz w:val="17"/>
              </w:rPr>
              <w:t>0.5–1 s avg</w:t>
            </w:r>
          </w:p>
        </w:tc>
        <w:tc>
          <w:tcPr>
            <w:tcW w:type="dxa" w:w="3504"/>
            <w:vAlign w:val="center"/>
          </w:tcPr>
          <w:p>
            <w:r/>
            <w:r>
              <w:rPr>
                <w:b w:val="0"/>
                <w:sz w:val="17"/>
              </w:rPr>
              <w:t>Timeouts and safe retries</w:t>
            </w:r>
          </w:p>
        </w:tc>
      </w:tr>
      <w:tr>
        <w:tc>
          <w:tcPr>
            <w:tcW w:type="dxa" w:w="3504"/>
            <w:vAlign w:val="center"/>
          </w:tcPr>
          <w:p>
            <w:r/>
            <w:r>
              <w:rPr>
                <w:b w:val="0"/>
                <w:sz w:val="17"/>
              </w:rPr>
              <w:t>TTS</w:t>
            </w:r>
          </w:p>
        </w:tc>
        <w:tc>
          <w:tcPr>
            <w:tcW w:type="dxa" w:w="3504"/>
            <w:vAlign w:val="center"/>
          </w:tcPr>
          <w:p>
            <w:r/>
            <w:r>
              <w:rPr>
                <w:b w:val="0"/>
                <w:sz w:val="17"/>
              </w:rPr>
              <w:t>0.6–1.2 s</w:t>
            </w:r>
          </w:p>
        </w:tc>
        <w:tc>
          <w:tcPr>
            <w:tcW w:type="dxa" w:w="3504"/>
            <w:vAlign w:val="center"/>
          </w:tcPr>
          <w:p>
            <w:r/>
            <w:r>
              <w:rPr>
                <w:b w:val="0"/>
                <w:sz w:val="17"/>
              </w:rPr>
              <w:t>Streaming preferred</w:t>
            </w:r>
          </w:p>
        </w:tc>
      </w:tr>
      <w:tr>
        <w:tc>
          <w:tcPr>
            <w:tcW w:type="dxa" w:w="3504"/>
            <w:vAlign w:val="center"/>
          </w:tcPr>
          <w:p>
            <w:r/>
            <w:r>
              <w:rPr>
                <w:b w:val="0"/>
                <w:sz w:val="17"/>
              </w:rPr>
              <w:t>End-to-end turn</w:t>
            </w:r>
          </w:p>
        </w:tc>
        <w:tc>
          <w:tcPr>
            <w:tcW w:type="dxa" w:w="3504"/>
            <w:vAlign w:val="center"/>
          </w:tcPr>
          <w:p>
            <w:r/>
            <w:r>
              <w:rPr>
                <w:b w:val="0"/>
                <w:sz w:val="17"/>
              </w:rPr>
              <w:t>&lt; 6 s</w:t>
            </w:r>
          </w:p>
        </w:tc>
        <w:tc>
          <w:tcPr>
            <w:tcW w:type="dxa" w:w="3504"/>
            <w:vAlign w:val="center"/>
          </w:tcPr>
          <w:p>
            <w:r/>
            <w:r>
              <w:rPr>
                <w:b w:val="0"/>
                <w:sz w:val="17"/>
              </w:rPr>
              <w:t>Natural turn-taking target</w:t>
            </w:r>
          </w:p>
        </w:tc>
      </w:tr>
    </w:tbl>
    <w:p/>
    <w:p>
      <w:pPr>
        <w:pStyle w:val="Heading1"/>
      </w:pPr>
      <w:r>
        <w:t>3. Conversation Flow / State Machine</w:t>
      </w:r>
    </w:p>
    <w:p>
      <w:r>
        <w:t>Authentication is state-enforced: the assistant must not transition into debt disclosure or collections negotiation until verification succeeds. The orchestrator/tool layer should maintain an authenticated=true state flag and gate debt-related fields on it; prompt instructions alone are not sufficient.</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163A63"/>
          </w:tcPr>
          <w:p>
            <w:r/>
            <w:r>
              <w:rPr>
                <w:b/>
                <w:color w:val="FFFFFF"/>
                <w:sz w:val="17"/>
              </w:rPr>
              <w:t>State</w:t>
            </w:r>
          </w:p>
        </w:tc>
        <w:tc>
          <w:tcPr>
            <w:tcW w:type="dxa" w:w="3504"/>
            <w:vAlign w:val="center"/>
            <w:shd w:fill="163A63"/>
          </w:tcPr>
          <w:p>
            <w:r/>
            <w:r>
              <w:rPr>
                <w:b/>
                <w:color w:val="FFFFFF"/>
                <w:sz w:val="17"/>
              </w:rPr>
              <w:t>Purpose</w:t>
            </w:r>
          </w:p>
        </w:tc>
        <w:tc>
          <w:tcPr>
            <w:tcW w:type="dxa" w:w="3504"/>
            <w:vAlign w:val="center"/>
            <w:shd w:fill="163A63"/>
          </w:tcPr>
          <w:p>
            <w:r/>
            <w:r>
              <w:rPr>
                <w:b/>
                <w:color w:val="FFFFFF"/>
                <w:sz w:val="17"/>
              </w:rPr>
              <w:t>Transition lock</w:t>
            </w:r>
          </w:p>
        </w:tc>
      </w:tr>
      <w:tr>
        <w:tc>
          <w:tcPr>
            <w:tcW w:type="dxa" w:w="3504"/>
            <w:vAlign w:val="center"/>
          </w:tcPr>
          <w:p>
            <w:r/>
            <w:r>
              <w:rPr>
                <w:b w:val="0"/>
                <w:sz w:val="17"/>
              </w:rPr>
              <w:t>GREETING</w:t>
            </w:r>
          </w:p>
        </w:tc>
        <w:tc>
          <w:tcPr>
            <w:tcW w:type="dxa" w:w="3504"/>
            <w:vAlign w:val="center"/>
          </w:tcPr>
          <w:p>
            <w:r/>
            <w:r>
              <w:rPr>
                <w:b w:val="0"/>
                <w:sz w:val="17"/>
              </w:rPr>
              <w:t>Self/company disclosure</w:t>
            </w:r>
          </w:p>
        </w:tc>
        <w:tc>
          <w:tcPr>
            <w:tcW w:type="dxa" w:w="3504"/>
            <w:vAlign w:val="center"/>
          </w:tcPr>
          <w:p>
            <w:r/>
            <w:r>
              <w:rPr>
                <w:b w:val="0"/>
                <w:sz w:val="17"/>
              </w:rPr>
              <w:t>Always first; no debt information</w:t>
            </w:r>
          </w:p>
        </w:tc>
      </w:tr>
      <w:tr>
        <w:tc>
          <w:tcPr>
            <w:tcW w:type="dxa" w:w="3504"/>
            <w:vAlign w:val="center"/>
          </w:tcPr>
          <w:p>
            <w:r/>
            <w:r>
              <w:rPr>
                <w:b w:val="0"/>
                <w:sz w:val="17"/>
              </w:rPr>
              <w:t>AUTHENTICATE</w:t>
            </w:r>
          </w:p>
        </w:tc>
        <w:tc>
          <w:tcPr>
            <w:tcW w:type="dxa" w:w="3504"/>
            <w:vAlign w:val="center"/>
          </w:tcPr>
          <w:p>
            <w:r/>
            <w:r>
              <w:rPr>
                <w:b w:val="0"/>
                <w:sz w:val="17"/>
              </w:rPr>
              <w:t>Verify identity</w:t>
            </w:r>
          </w:p>
        </w:tc>
        <w:tc>
          <w:tcPr>
            <w:tcW w:type="dxa" w:w="3504"/>
            <w:vAlign w:val="center"/>
          </w:tcPr>
          <w:p>
            <w:r/>
            <w:r>
              <w:rPr>
                <w:b w:val="0"/>
                <w:sz w:val="17"/>
              </w:rPr>
              <w:t>Must succeed before disclosure</w:t>
            </w:r>
          </w:p>
        </w:tc>
      </w:tr>
      <w:tr>
        <w:tc>
          <w:tcPr>
            <w:tcW w:type="dxa" w:w="3504"/>
            <w:vAlign w:val="center"/>
          </w:tcPr>
          <w:p>
            <w:r/>
            <w:r>
              <w:rPr>
                <w:b w:val="0"/>
                <w:sz w:val="17"/>
              </w:rPr>
              <w:t>DISCLOSE_PURPOSE</w:t>
            </w:r>
          </w:p>
        </w:tc>
        <w:tc>
          <w:tcPr>
            <w:tcW w:type="dxa" w:w="3504"/>
            <w:vAlign w:val="center"/>
          </w:tcPr>
          <w:p>
            <w:r/>
            <w:r>
              <w:rPr>
                <w:b w:val="0"/>
                <w:sz w:val="17"/>
              </w:rPr>
              <w:t>Explain purpose + overdue amount</w:t>
            </w:r>
          </w:p>
        </w:tc>
        <w:tc>
          <w:tcPr>
            <w:tcW w:type="dxa" w:w="3504"/>
            <w:vAlign w:val="center"/>
          </w:tcPr>
          <w:p>
            <w:r/>
            <w:r>
              <w:rPr>
                <w:b w:val="0"/>
                <w:sz w:val="17"/>
              </w:rPr>
              <w:t>authenticated=true only</w:t>
            </w:r>
          </w:p>
        </w:tc>
      </w:tr>
      <w:tr>
        <w:tc>
          <w:tcPr>
            <w:tcW w:type="dxa" w:w="3504"/>
            <w:vAlign w:val="center"/>
          </w:tcPr>
          <w:p>
            <w:r/>
            <w:r>
              <w:rPr>
                <w:b w:val="0"/>
                <w:sz w:val="17"/>
              </w:rPr>
              <w:t>DETECT_INTENT</w:t>
            </w:r>
          </w:p>
        </w:tc>
        <w:tc>
          <w:tcPr>
            <w:tcW w:type="dxa" w:w="3504"/>
            <w:vAlign w:val="center"/>
          </w:tcPr>
          <w:p>
            <w:r/>
            <w:r>
              <w:rPr>
                <w:b w:val="0"/>
                <w:sz w:val="17"/>
              </w:rPr>
              <w:t>Understand customer response</w:t>
            </w:r>
          </w:p>
        </w:tc>
        <w:tc>
          <w:tcPr>
            <w:tcW w:type="dxa" w:w="3504"/>
            <w:vAlign w:val="center"/>
          </w:tcPr>
          <w:p>
            <w:r/>
            <w:r>
              <w:rPr>
                <w:b w:val="0"/>
                <w:sz w:val="17"/>
              </w:rPr>
              <w:t>authenticated=true</w:t>
            </w:r>
          </w:p>
        </w:tc>
      </w:tr>
      <w:tr>
        <w:tc>
          <w:tcPr>
            <w:tcW w:type="dxa" w:w="3504"/>
            <w:vAlign w:val="center"/>
          </w:tcPr>
          <w:p>
            <w:r/>
            <w:r>
              <w:rPr>
                <w:b w:val="0"/>
                <w:sz w:val="17"/>
              </w:rPr>
              <w:t>RESOLVE</w:t>
            </w:r>
          </w:p>
        </w:tc>
        <w:tc>
          <w:tcPr>
            <w:tcW w:type="dxa" w:w="3504"/>
            <w:vAlign w:val="center"/>
          </w:tcPr>
          <w:p>
            <w:r/>
            <w:r>
              <w:rPr>
                <w:b w:val="0"/>
                <w:sz w:val="17"/>
              </w:rPr>
              <w:t>PTP, hardship, paid, dispute, callback, payment link, escalation</w:t>
            </w:r>
          </w:p>
        </w:tc>
        <w:tc>
          <w:tcPr>
            <w:tcW w:type="dxa" w:w="3504"/>
            <w:vAlign w:val="center"/>
          </w:tcPr>
          <w:p>
            <w:r/>
            <w:r>
              <w:rPr>
                <w:b w:val="0"/>
                <w:sz w:val="17"/>
              </w:rPr>
              <w:t>Intent/tool gates</w:t>
            </w:r>
          </w:p>
        </w:tc>
      </w:tr>
      <w:tr>
        <w:tc>
          <w:tcPr>
            <w:tcW w:type="dxa" w:w="3504"/>
            <w:vAlign w:val="center"/>
          </w:tcPr>
          <w:p>
            <w:r/>
            <w:r>
              <w:rPr>
                <w:b w:val="0"/>
                <w:sz w:val="17"/>
              </w:rPr>
              <w:t>DISPOSITION</w:t>
            </w:r>
          </w:p>
        </w:tc>
        <w:tc>
          <w:tcPr>
            <w:tcW w:type="dxa" w:w="3504"/>
            <w:vAlign w:val="center"/>
          </w:tcPr>
          <w:p>
            <w:r/>
            <w:r>
              <w:rPr>
                <w:b w:val="0"/>
                <w:sz w:val="17"/>
              </w:rPr>
              <w:t>Record outcome</w:t>
            </w:r>
          </w:p>
        </w:tc>
        <w:tc>
          <w:tcPr>
            <w:tcW w:type="dxa" w:w="3504"/>
            <w:vAlign w:val="center"/>
          </w:tcPr>
          <w:p>
            <w:r/>
            <w:r>
              <w:rPr>
                <w:b w:val="0"/>
                <w:sz w:val="17"/>
              </w:rPr>
              <w:t>Required before normal completion</w:t>
            </w:r>
          </w:p>
        </w:tc>
      </w:tr>
      <w:tr>
        <w:tc>
          <w:tcPr>
            <w:tcW w:type="dxa" w:w="3504"/>
            <w:vAlign w:val="center"/>
          </w:tcPr>
          <w:p>
            <w:r/>
            <w:r>
              <w:rPr>
                <w:b w:val="0"/>
                <w:sz w:val="17"/>
              </w:rPr>
              <w:t>END</w:t>
            </w:r>
          </w:p>
        </w:tc>
        <w:tc>
          <w:tcPr>
            <w:tcW w:type="dxa" w:w="3504"/>
            <w:vAlign w:val="center"/>
          </w:tcPr>
          <w:p>
            <w:r/>
            <w:r>
              <w:rPr>
                <w:b w:val="0"/>
                <w:sz w:val="17"/>
              </w:rPr>
              <w:t>Safe closing/termination</w:t>
            </w:r>
          </w:p>
        </w:tc>
        <w:tc>
          <w:tcPr>
            <w:tcW w:type="dxa" w:w="3504"/>
            <w:vAlign w:val="center"/>
          </w:tcPr>
          <w:p>
            <w:r/>
            <w:r>
              <w:rPr>
                <w:b w:val="0"/>
                <w:sz w:val="17"/>
              </w:rPr>
              <w:t>After disposition or terminal case</w:t>
            </w:r>
          </w:p>
        </w:tc>
      </w:tr>
    </w:tbl>
    <w:p/>
    <w:p>
      <w:pPr>
        <w:pStyle w:val="Heading1"/>
      </w:pPr>
      <w:r>
        <w:t>4. Intents &amp; Entities</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163A63"/>
          </w:tcPr>
          <w:p>
            <w:r/>
            <w:r>
              <w:rPr>
                <w:b/>
                <w:color w:val="FFFFFF"/>
                <w:sz w:val="17"/>
              </w:rPr>
              <w:t>Intent</w:t>
            </w:r>
          </w:p>
        </w:tc>
        <w:tc>
          <w:tcPr>
            <w:tcW w:type="dxa" w:w="3504"/>
            <w:vAlign w:val="center"/>
            <w:shd w:fill="163A63"/>
          </w:tcPr>
          <w:p>
            <w:r/>
            <w:r>
              <w:rPr>
                <w:b/>
                <w:color w:val="FFFFFF"/>
                <w:sz w:val="17"/>
              </w:rPr>
              <w:t>Handling</w:t>
            </w:r>
          </w:p>
        </w:tc>
        <w:tc>
          <w:tcPr>
            <w:tcW w:type="dxa" w:w="3504"/>
            <w:vAlign w:val="center"/>
            <w:shd w:fill="163A63"/>
          </w:tcPr>
          <w:p>
            <w:r/>
            <w:r>
              <w:rPr>
                <w:b/>
                <w:color w:val="FFFFFF"/>
                <w:sz w:val="17"/>
              </w:rPr>
              <w:t>Entities</w:t>
            </w:r>
          </w:p>
        </w:tc>
      </w:tr>
      <w:tr>
        <w:tc>
          <w:tcPr>
            <w:tcW w:type="dxa" w:w="3504"/>
            <w:vAlign w:val="center"/>
          </w:tcPr>
          <w:p>
            <w:r/>
            <w:r>
              <w:rPr>
                <w:b w:val="0"/>
                <w:sz w:val="17"/>
              </w:rPr>
              <w:t>will-pay</w:t>
            </w:r>
          </w:p>
        </w:tc>
        <w:tc>
          <w:tcPr>
            <w:tcW w:type="dxa" w:w="3504"/>
            <w:vAlign w:val="center"/>
          </w:tcPr>
          <w:p>
            <w:r/>
            <w:r>
              <w:rPr>
                <w:b w:val="0"/>
                <w:sz w:val="17"/>
              </w:rPr>
              <w:t>Confirm and record PTP</w:t>
            </w:r>
          </w:p>
        </w:tc>
        <w:tc>
          <w:tcPr>
            <w:tcW w:type="dxa" w:w="3504"/>
            <w:vAlign w:val="center"/>
          </w:tcPr>
          <w:p>
            <w:r/>
            <w:r>
              <w:rPr>
                <w:b w:val="0"/>
                <w:sz w:val="17"/>
              </w:rPr>
              <w:t>ptp_date, ptp_amount, payment_mode</w:t>
            </w:r>
          </w:p>
        </w:tc>
      </w:tr>
      <w:tr>
        <w:tc>
          <w:tcPr>
            <w:tcW w:type="dxa" w:w="3504"/>
            <w:vAlign w:val="center"/>
          </w:tcPr>
          <w:p>
            <w:r/>
            <w:r>
              <w:rPr>
                <w:b w:val="0"/>
                <w:sz w:val="17"/>
              </w:rPr>
              <w:t>cannot-pay / hardship</w:t>
            </w:r>
          </w:p>
        </w:tc>
        <w:tc>
          <w:tcPr>
            <w:tcW w:type="dxa" w:w="3504"/>
            <w:vAlign w:val="center"/>
          </w:tcPr>
          <w:p>
            <w:r/>
            <w:r>
              <w:rPr>
                <w:b w:val="0"/>
                <w:sz w:val="17"/>
              </w:rPr>
              <w:t>Acknowledge; negotiate within policy or escalate</w:t>
            </w:r>
          </w:p>
        </w:tc>
        <w:tc>
          <w:tcPr>
            <w:tcW w:type="dxa" w:w="3504"/>
            <w:vAlign w:val="center"/>
          </w:tcPr>
          <w:p>
            <w:r/>
            <w:r>
              <w:rPr>
                <w:b w:val="0"/>
                <w:sz w:val="17"/>
              </w:rPr>
              <w:t>reason, preferred_date, affordable_amount</w:t>
            </w:r>
          </w:p>
        </w:tc>
      </w:tr>
      <w:tr>
        <w:tc>
          <w:tcPr>
            <w:tcW w:type="dxa" w:w="3504"/>
            <w:vAlign w:val="center"/>
          </w:tcPr>
          <w:p>
            <w:r/>
            <w:r>
              <w:rPr>
                <w:b w:val="0"/>
                <w:sz w:val="17"/>
              </w:rPr>
              <w:t>already-paid</w:t>
            </w:r>
          </w:p>
        </w:tc>
        <w:tc>
          <w:tcPr>
            <w:tcW w:type="dxa" w:w="3504"/>
            <w:vAlign w:val="center"/>
          </w:tcPr>
          <w:p>
            <w:r/>
            <w:r>
              <w:rPr>
                <w:b w:val="0"/>
                <w:sz w:val="17"/>
              </w:rPr>
              <w:t>Collect details and verify/route; no duplicate demand</w:t>
            </w:r>
          </w:p>
        </w:tc>
        <w:tc>
          <w:tcPr>
            <w:tcW w:type="dxa" w:w="3504"/>
            <w:vAlign w:val="center"/>
          </w:tcPr>
          <w:p>
            <w:r/>
            <w:r>
              <w:rPr>
                <w:b w:val="0"/>
                <w:sz w:val="17"/>
              </w:rPr>
              <w:t>payment_date, payment_mode, reference_number</w:t>
            </w:r>
          </w:p>
        </w:tc>
      </w:tr>
      <w:tr>
        <w:tc>
          <w:tcPr>
            <w:tcW w:type="dxa" w:w="3504"/>
            <w:vAlign w:val="center"/>
          </w:tcPr>
          <w:p>
            <w:r/>
            <w:r>
              <w:rPr>
                <w:b w:val="0"/>
                <w:sz w:val="17"/>
              </w:rPr>
              <w:t>dispute</w:t>
            </w:r>
          </w:p>
        </w:tc>
        <w:tc>
          <w:tcPr>
            <w:tcW w:type="dxa" w:w="3504"/>
            <w:vAlign w:val="center"/>
          </w:tcPr>
          <w:p>
            <w:r/>
            <w:r>
              <w:rPr>
                <w:b w:val="0"/>
                <w:sz w:val="17"/>
              </w:rPr>
              <w:t>Capture reason; do not argue; escalate/review</w:t>
            </w:r>
          </w:p>
        </w:tc>
        <w:tc>
          <w:tcPr>
            <w:tcW w:type="dxa" w:w="3504"/>
            <w:vAlign w:val="center"/>
          </w:tcPr>
          <w:p>
            <w:r/>
            <w:r>
              <w:rPr>
                <w:b w:val="0"/>
                <w:sz w:val="17"/>
              </w:rPr>
              <w:t>dispute_reason, disputed_amount</w:t>
            </w:r>
          </w:p>
        </w:tc>
      </w:tr>
      <w:tr>
        <w:tc>
          <w:tcPr>
            <w:tcW w:type="dxa" w:w="3504"/>
            <w:vAlign w:val="center"/>
          </w:tcPr>
          <w:p>
            <w:r/>
            <w:r>
              <w:rPr>
                <w:b w:val="0"/>
                <w:sz w:val="17"/>
              </w:rPr>
              <w:t>callback-request</w:t>
            </w:r>
          </w:p>
        </w:tc>
        <w:tc>
          <w:tcPr>
            <w:tcW w:type="dxa" w:w="3504"/>
            <w:vAlign w:val="center"/>
          </w:tcPr>
          <w:p>
            <w:r/>
            <w:r>
              <w:rPr>
                <w:b w:val="0"/>
                <w:sz w:val="17"/>
              </w:rPr>
              <w:t>Schedule callback</w:t>
            </w:r>
          </w:p>
        </w:tc>
        <w:tc>
          <w:tcPr>
            <w:tcW w:type="dxa" w:w="3504"/>
            <w:vAlign w:val="center"/>
          </w:tcPr>
          <w:p>
            <w:r/>
            <w:r>
              <w:rPr>
                <w:b w:val="0"/>
                <w:sz w:val="17"/>
              </w:rPr>
              <w:t>preferred_datetime, phone_number</w:t>
            </w:r>
          </w:p>
        </w:tc>
      </w:tr>
      <w:tr>
        <w:tc>
          <w:tcPr>
            <w:tcW w:type="dxa" w:w="3504"/>
            <w:vAlign w:val="center"/>
          </w:tcPr>
          <w:p>
            <w:r/>
            <w:r>
              <w:rPr>
                <w:b w:val="0"/>
                <w:sz w:val="17"/>
              </w:rPr>
              <w:t>wrong-person</w:t>
            </w:r>
          </w:p>
        </w:tc>
        <w:tc>
          <w:tcPr>
            <w:tcW w:type="dxa" w:w="3504"/>
            <w:vAlign w:val="center"/>
          </w:tcPr>
          <w:p>
            <w:r/>
            <w:r>
              <w:rPr>
                <w:b w:val="0"/>
                <w:sz w:val="17"/>
              </w:rPr>
              <w:t>No debt disclosure; end safely</w:t>
            </w:r>
          </w:p>
        </w:tc>
        <w:tc>
          <w:tcPr>
            <w:tcW w:type="dxa" w:w="3504"/>
            <w:vAlign w:val="center"/>
          </w:tcPr>
          <w:p>
            <w:r/>
            <w:r>
              <w:rPr>
                <w:b w:val="0"/>
                <w:sz w:val="17"/>
              </w:rPr>
              <w:t>none</w:t>
            </w:r>
          </w:p>
        </w:tc>
      </w:tr>
      <w:tr>
        <w:tc>
          <w:tcPr>
            <w:tcW w:type="dxa" w:w="3504"/>
            <w:vAlign w:val="center"/>
          </w:tcPr>
          <w:p>
            <w:r/>
            <w:r>
              <w:rPr>
                <w:b w:val="0"/>
                <w:sz w:val="17"/>
              </w:rPr>
              <w:t>hostile / abusive</w:t>
            </w:r>
          </w:p>
        </w:tc>
        <w:tc>
          <w:tcPr>
            <w:tcW w:type="dxa" w:w="3504"/>
            <w:vAlign w:val="center"/>
          </w:tcPr>
          <w:p>
            <w:r/>
            <w:r>
              <w:rPr>
                <w:b w:val="0"/>
                <w:sz w:val="17"/>
              </w:rPr>
              <w:t>Calm boundary; escalate/end</w:t>
            </w:r>
          </w:p>
        </w:tc>
        <w:tc>
          <w:tcPr>
            <w:tcW w:type="dxa" w:w="3504"/>
            <w:vAlign w:val="center"/>
          </w:tcPr>
          <w:p>
            <w:r/>
            <w:r>
              <w:rPr>
                <w:b w:val="0"/>
                <w:sz w:val="17"/>
              </w:rPr>
              <w:t>none</w:t>
            </w:r>
          </w:p>
        </w:tc>
      </w:tr>
      <w:tr>
        <w:tc>
          <w:tcPr>
            <w:tcW w:type="dxa" w:w="3504"/>
            <w:vAlign w:val="center"/>
          </w:tcPr>
          <w:p>
            <w:r/>
            <w:r>
              <w:rPr>
                <w:b w:val="0"/>
                <w:sz w:val="17"/>
              </w:rPr>
              <w:t>do-not-call</w:t>
            </w:r>
          </w:p>
        </w:tc>
        <w:tc>
          <w:tcPr>
            <w:tcW w:type="dxa" w:w="3504"/>
            <w:vAlign w:val="center"/>
          </w:tcPr>
          <w:p>
            <w:r/>
            <w:r>
              <w:rPr>
                <w:b w:val="0"/>
                <w:sz w:val="17"/>
              </w:rPr>
              <w:t>Stop and record DNC</w:t>
            </w:r>
          </w:p>
        </w:tc>
        <w:tc>
          <w:tcPr>
            <w:tcW w:type="dxa" w:w="3504"/>
            <w:vAlign w:val="center"/>
          </w:tcPr>
          <w:p>
            <w:r/>
            <w:r>
              <w:rPr>
                <w:b w:val="0"/>
                <w:sz w:val="17"/>
              </w:rPr>
              <w:t>none</w:t>
            </w:r>
          </w:p>
        </w:tc>
      </w:tr>
      <w:tr>
        <w:tc>
          <w:tcPr>
            <w:tcW w:type="dxa" w:w="3504"/>
            <w:vAlign w:val="center"/>
          </w:tcPr>
          <w:p>
            <w:r/>
            <w:r>
              <w:rPr>
                <w:b w:val="0"/>
                <w:sz w:val="17"/>
              </w:rPr>
              <w:t>voicemail / no-input</w:t>
            </w:r>
          </w:p>
        </w:tc>
        <w:tc>
          <w:tcPr>
            <w:tcW w:type="dxa" w:w="3504"/>
            <w:vAlign w:val="center"/>
          </w:tcPr>
          <w:p>
            <w:r/>
            <w:r>
              <w:rPr>
                <w:b w:val="0"/>
                <w:sz w:val="17"/>
              </w:rPr>
              <w:t>Approved generic message if allowed, otherwise end</w:t>
            </w:r>
          </w:p>
        </w:tc>
        <w:tc>
          <w:tcPr>
            <w:tcW w:type="dxa" w:w="3504"/>
            <w:vAlign w:val="center"/>
          </w:tcPr>
          <w:p>
            <w:r/>
            <w:r>
              <w:rPr>
                <w:b w:val="0"/>
                <w:sz w:val="17"/>
              </w:rPr>
              <w:t>none</w:t>
            </w:r>
          </w:p>
        </w:tc>
      </w:tr>
      <w:tr>
        <w:tc>
          <w:tcPr>
            <w:tcW w:type="dxa" w:w="3504"/>
            <w:vAlign w:val="center"/>
          </w:tcPr>
          <w:p>
            <w:r/>
            <w:r>
              <w:rPr>
                <w:b w:val="0"/>
                <w:sz w:val="17"/>
              </w:rPr>
              <w:t>language-switch</w:t>
            </w:r>
          </w:p>
        </w:tc>
        <w:tc>
          <w:tcPr>
            <w:tcW w:type="dxa" w:w="3504"/>
            <w:vAlign w:val="center"/>
          </w:tcPr>
          <w:p>
            <w:r/>
            <w:r>
              <w:rPr>
                <w:b w:val="0"/>
                <w:sz w:val="17"/>
              </w:rPr>
              <w:t>Switch EN/HI with same safety gates</w:t>
            </w:r>
          </w:p>
        </w:tc>
        <w:tc>
          <w:tcPr>
            <w:tcW w:type="dxa" w:w="3504"/>
            <w:vAlign w:val="center"/>
          </w:tcPr>
          <w:p>
            <w:r/>
            <w:r>
              <w:rPr>
                <w:b w:val="0"/>
                <w:sz w:val="17"/>
              </w:rPr>
              <w:t>language</w:t>
            </w:r>
          </w:p>
        </w:tc>
      </w:tr>
    </w:tbl>
    <w:p/>
    <w:p>
      <w:pPr>
        <w:pStyle w:val="Heading1"/>
      </w:pPr>
      <w:r>
        <w:t>5. Tools / API Definitions</w:t>
      </w:r>
    </w:p>
    <w:p>
      <w:r>
        <w:t>Implemented in the Vapi build:</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shd w:fill="163A63"/>
          </w:tcPr>
          <w:p>
            <w:r/>
            <w:r>
              <w:rPr>
                <w:b/>
                <w:color w:val="FFFFFF"/>
                <w:sz w:val="17"/>
              </w:rPr>
              <w:t>Tool</w:t>
            </w:r>
          </w:p>
        </w:tc>
        <w:tc>
          <w:tcPr>
            <w:tcW w:type="dxa" w:w="2628"/>
            <w:vAlign w:val="center"/>
            <w:shd w:fill="163A63"/>
          </w:tcPr>
          <w:p>
            <w:r/>
            <w:r>
              <w:rPr>
                <w:b/>
                <w:color w:val="FFFFFF"/>
                <w:sz w:val="17"/>
              </w:rPr>
              <w:t>Inputs</w:t>
            </w:r>
          </w:p>
        </w:tc>
        <w:tc>
          <w:tcPr>
            <w:tcW w:type="dxa" w:w="2628"/>
            <w:vAlign w:val="center"/>
            <w:shd w:fill="163A63"/>
          </w:tcPr>
          <w:p>
            <w:r/>
            <w:r>
              <w:rPr>
                <w:b/>
                <w:color w:val="FFFFFF"/>
                <w:sz w:val="17"/>
              </w:rPr>
              <w:t>Outputs</w:t>
            </w:r>
          </w:p>
        </w:tc>
        <w:tc>
          <w:tcPr>
            <w:tcW w:type="dxa" w:w="2628"/>
            <w:vAlign w:val="center"/>
            <w:shd w:fill="163A63"/>
          </w:tcPr>
          <w:p>
            <w:r/>
            <w:r>
              <w:rPr>
                <w:b/>
                <w:color w:val="FFFFFF"/>
                <w:sz w:val="17"/>
              </w:rPr>
              <w:t>Purpose</w:t>
            </w:r>
          </w:p>
        </w:tc>
      </w:tr>
      <w:tr>
        <w:tc>
          <w:tcPr>
            <w:tcW w:type="dxa" w:w="2628"/>
            <w:vAlign w:val="center"/>
          </w:tcPr>
          <w:p>
            <w:r/>
            <w:r>
              <w:rPr>
                <w:b w:val="0"/>
                <w:sz w:val="17"/>
              </w:rPr>
              <w:t>verify_customer</w:t>
            </w:r>
          </w:p>
        </w:tc>
        <w:tc>
          <w:tcPr>
            <w:tcW w:type="dxa" w:w="2628"/>
            <w:vAlign w:val="center"/>
          </w:tcPr>
          <w:p>
            <w:r/>
            <w:r>
              <w:rPr>
                <w:b w:val="0"/>
                <w:sz w:val="17"/>
              </w:rPr>
              <w:t>name; approved verification factor</w:t>
            </w:r>
          </w:p>
        </w:tc>
        <w:tc>
          <w:tcPr>
            <w:tcW w:type="dxa" w:w="2628"/>
            <w:vAlign w:val="center"/>
          </w:tcPr>
          <w:p>
            <w:r/>
            <w:r>
              <w:rPr>
                <w:b w:val="0"/>
                <w:sz w:val="17"/>
              </w:rPr>
              <w:t>verified; customer_id</w:t>
            </w:r>
          </w:p>
        </w:tc>
        <w:tc>
          <w:tcPr>
            <w:tcW w:type="dxa" w:w="2628"/>
            <w:vAlign w:val="center"/>
          </w:tcPr>
          <w:p>
            <w:r/>
            <w:r>
              <w:rPr>
                <w:b w:val="0"/>
                <w:sz w:val="17"/>
              </w:rPr>
              <w:t>Verify identity</w:t>
            </w:r>
          </w:p>
        </w:tc>
      </w:tr>
      <w:tr>
        <w:tc>
          <w:tcPr>
            <w:tcW w:type="dxa" w:w="2628"/>
            <w:vAlign w:val="center"/>
          </w:tcPr>
          <w:p>
            <w:r/>
            <w:r>
              <w:rPr>
                <w:b w:val="0"/>
                <w:sz w:val="17"/>
              </w:rPr>
              <w:t>log_promise_to_pay</w:t>
            </w:r>
          </w:p>
        </w:tc>
        <w:tc>
          <w:tcPr>
            <w:tcW w:type="dxa" w:w="2628"/>
            <w:vAlign w:val="center"/>
          </w:tcPr>
          <w:p>
            <w:r/>
            <w:r>
              <w:rPr>
                <w:b w:val="0"/>
                <w:sz w:val="17"/>
              </w:rPr>
              <w:t>customer_id; ptp_date; ptp_amount; payment_mode; notes</w:t>
            </w:r>
          </w:p>
        </w:tc>
        <w:tc>
          <w:tcPr>
            <w:tcW w:type="dxa" w:w="2628"/>
            <w:vAlign w:val="center"/>
          </w:tcPr>
          <w:p>
            <w:r/>
            <w:r>
              <w:rPr>
                <w:b w:val="0"/>
                <w:sz w:val="17"/>
              </w:rPr>
              <w:t>status; commitment_id</w:t>
            </w:r>
          </w:p>
        </w:tc>
        <w:tc>
          <w:tcPr>
            <w:tcW w:type="dxa" w:w="2628"/>
            <w:vAlign w:val="center"/>
          </w:tcPr>
          <w:p>
            <w:r/>
            <w:r>
              <w:rPr>
                <w:b w:val="0"/>
                <w:sz w:val="17"/>
              </w:rPr>
              <w:t>Record PTP</w:t>
            </w:r>
          </w:p>
        </w:tc>
      </w:tr>
      <w:tr>
        <w:tc>
          <w:tcPr>
            <w:tcW w:type="dxa" w:w="2628"/>
            <w:vAlign w:val="center"/>
          </w:tcPr>
          <w:p>
            <w:r/>
            <w:r>
              <w:rPr>
                <w:b w:val="0"/>
                <w:sz w:val="17"/>
              </w:rPr>
              <w:t>send_payment_link</w:t>
            </w:r>
          </w:p>
        </w:tc>
        <w:tc>
          <w:tcPr>
            <w:tcW w:type="dxa" w:w="2628"/>
            <w:vAlign w:val="center"/>
          </w:tcPr>
          <w:p>
            <w:r/>
            <w:r>
              <w:rPr>
                <w:b w:val="0"/>
                <w:sz w:val="17"/>
              </w:rPr>
              <w:t>customer_id; amount; channel; contact</w:t>
            </w:r>
          </w:p>
        </w:tc>
        <w:tc>
          <w:tcPr>
            <w:tcW w:type="dxa" w:w="2628"/>
            <w:vAlign w:val="center"/>
          </w:tcPr>
          <w:p>
            <w:r/>
            <w:r>
              <w:rPr>
                <w:b w:val="0"/>
                <w:sz w:val="17"/>
              </w:rPr>
              <w:t>status; channel; payment_link</w:t>
            </w:r>
          </w:p>
        </w:tc>
        <w:tc>
          <w:tcPr>
            <w:tcW w:type="dxa" w:w="2628"/>
            <w:vAlign w:val="center"/>
          </w:tcPr>
          <w:p>
            <w:r/>
            <w:r>
              <w:rPr>
                <w:b w:val="0"/>
                <w:sz w:val="17"/>
              </w:rPr>
              <w:t>Send/mock payment link</w:t>
            </w:r>
          </w:p>
        </w:tc>
      </w:tr>
    </w:tbl>
    <w:p/>
    <w:p>
      <w:r>
        <w:t>Recommended production extensions: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shd w:fill="163A63"/>
          </w:tcPr>
          <w:p>
            <w:r/>
            <w:r>
              <w:rPr>
                <w:b/>
                <w:color w:val="FFFFFF"/>
                <w:sz w:val="17"/>
              </w:rPr>
              <w:t>Tool</w:t>
            </w:r>
          </w:p>
        </w:tc>
        <w:tc>
          <w:tcPr>
            <w:tcW w:type="dxa" w:w="2628"/>
            <w:vAlign w:val="center"/>
            <w:shd w:fill="163A63"/>
          </w:tcPr>
          <w:p>
            <w:r/>
            <w:r>
              <w:rPr>
                <w:b/>
                <w:color w:val="FFFFFF"/>
                <w:sz w:val="17"/>
              </w:rPr>
              <w:t>Inputs</w:t>
            </w:r>
          </w:p>
        </w:tc>
        <w:tc>
          <w:tcPr>
            <w:tcW w:type="dxa" w:w="2628"/>
            <w:vAlign w:val="center"/>
            <w:shd w:fill="163A63"/>
          </w:tcPr>
          <w:p>
            <w:r/>
            <w:r>
              <w:rPr>
                <w:b/>
                <w:color w:val="FFFFFF"/>
                <w:sz w:val="17"/>
              </w:rPr>
              <w:t>Outputs</w:t>
            </w:r>
          </w:p>
        </w:tc>
        <w:tc>
          <w:tcPr>
            <w:tcW w:type="dxa" w:w="2628"/>
            <w:vAlign w:val="center"/>
            <w:shd w:fill="163A63"/>
          </w:tcPr>
          <w:p>
            <w:r/>
            <w:r>
              <w:rPr>
                <w:b/>
                <w:color w:val="FFFFFF"/>
                <w:sz w:val="17"/>
              </w:rPr>
              <w:t>Purpose</w:t>
            </w:r>
          </w:p>
        </w:tc>
      </w:tr>
      <w:tr>
        <w:tc>
          <w:tcPr>
            <w:tcW w:type="dxa" w:w="2628"/>
            <w:vAlign w:val="center"/>
          </w:tcPr>
          <w:p>
            <w:r/>
            <w:r>
              <w:rPr>
                <w:b w:val="0"/>
                <w:sz w:val="17"/>
              </w:rPr>
              <w:t>get_account_details</w:t>
            </w:r>
          </w:p>
        </w:tc>
        <w:tc>
          <w:tcPr>
            <w:tcW w:type="dxa" w:w="2628"/>
            <w:vAlign w:val="center"/>
          </w:tcPr>
          <w:p>
            <w:r/>
            <w:r>
              <w:rPr>
                <w:b w:val="0"/>
                <w:sz w:val="17"/>
              </w:rPr>
              <w:t>customer_id</w:t>
            </w:r>
          </w:p>
        </w:tc>
        <w:tc>
          <w:tcPr>
            <w:tcW w:type="dxa" w:w="2628"/>
            <w:vAlign w:val="center"/>
          </w:tcPr>
          <w:p>
            <w:r/>
            <w:r>
              <w:rPr>
                <w:b w:val="0"/>
                <w:sz w:val="17"/>
              </w:rPr>
              <w:t>overdue_amount; days_past_due; product</w:t>
            </w:r>
          </w:p>
        </w:tc>
        <w:tc>
          <w:tcPr>
            <w:tcW w:type="dxa" w:w="2628"/>
            <w:vAlign w:val="center"/>
          </w:tcPr>
          <w:p>
            <w:r/>
            <w:r>
              <w:rPr>
                <w:b w:val="0"/>
                <w:sz w:val="17"/>
              </w:rPr>
              <w:t>Trusted account facts</w:t>
            </w:r>
          </w:p>
        </w:tc>
      </w:tr>
      <w:tr>
        <w:tc>
          <w:tcPr>
            <w:tcW w:type="dxa" w:w="2628"/>
            <w:vAlign w:val="center"/>
          </w:tcPr>
          <w:p>
            <w:r/>
            <w:r>
              <w:rPr>
                <w:b w:val="0"/>
                <w:sz w:val="17"/>
              </w:rPr>
              <w:t>escalate_to_agent</w:t>
            </w:r>
          </w:p>
        </w:tc>
        <w:tc>
          <w:tcPr>
            <w:tcW w:type="dxa" w:w="2628"/>
            <w:vAlign w:val="center"/>
          </w:tcPr>
          <w:p>
            <w:r/>
            <w:r>
              <w:rPr>
                <w:b w:val="0"/>
                <w:sz w:val="17"/>
              </w:rPr>
              <w:t>customer_id; reason; summary</w:t>
            </w:r>
          </w:p>
        </w:tc>
        <w:tc>
          <w:tcPr>
            <w:tcW w:type="dxa" w:w="2628"/>
            <w:vAlign w:val="center"/>
          </w:tcPr>
          <w:p>
            <w:r/>
            <w:r>
              <w:rPr>
                <w:b w:val="0"/>
                <w:sz w:val="17"/>
              </w:rPr>
              <w:t>status; ticket_id</w:t>
            </w:r>
          </w:p>
        </w:tc>
        <w:tc>
          <w:tcPr>
            <w:tcW w:type="dxa" w:w="2628"/>
            <w:vAlign w:val="center"/>
          </w:tcPr>
          <w:p>
            <w:r/>
            <w:r>
              <w:rPr>
                <w:b w:val="0"/>
                <w:sz w:val="17"/>
              </w:rPr>
              <w:t>Human handoff</w:t>
            </w:r>
          </w:p>
        </w:tc>
      </w:tr>
      <w:tr>
        <w:tc>
          <w:tcPr>
            <w:tcW w:type="dxa" w:w="2628"/>
            <w:vAlign w:val="center"/>
          </w:tcPr>
          <w:p>
            <w:r/>
            <w:r>
              <w:rPr>
                <w:b w:val="0"/>
                <w:sz w:val="17"/>
              </w:rPr>
              <w:t>mark_disposition</w:t>
            </w:r>
          </w:p>
        </w:tc>
        <w:tc>
          <w:tcPr>
            <w:tcW w:type="dxa" w:w="2628"/>
            <w:vAlign w:val="center"/>
          </w:tcPr>
          <w:p>
            <w:r/>
            <w:r>
              <w:rPr>
                <w:b w:val="0"/>
                <w:sz w:val="17"/>
              </w:rPr>
              <w:t>customer_id; disposition; notes</w:t>
            </w:r>
          </w:p>
        </w:tc>
        <w:tc>
          <w:tcPr>
            <w:tcW w:type="dxa" w:w="2628"/>
            <w:vAlign w:val="center"/>
          </w:tcPr>
          <w:p>
            <w:r/>
            <w:r>
              <w:rPr>
                <w:b w:val="0"/>
                <w:sz w:val="17"/>
              </w:rPr>
              <w:t>status; disposition_id</w:t>
            </w:r>
          </w:p>
        </w:tc>
        <w:tc>
          <w:tcPr>
            <w:tcW w:type="dxa" w:w="2628"/>
            <w:vAlign w:val="center"/>
          </w:tcPr>
          <w:p>
            <w:r/>
            <w:r>
              <w:rPr>
                <w:b w:val="0"/>
                <w:sz w:val="17"/>
              </w:rPr>
              <w:t>Final outcome logging</w:t>
            </w:r>
          </w:p>
        </w:tc>
      </w:tr>
    </w:tbl>
    <w:p/>
    <w:p>
      <w:pPr>
        <w:pStyle w:val="Heading1"/>
      </w:pPr>
      <w:r>
        <w:t>6. Authentication &amp; Data Safety</w:t>
      </w:r>
    </w:p>
    <w:p>
      <w:pPr>
        <w:pStyle w:val="ListBullet"/>
      </w:pPr>
      <w:r>
        <w:t>No overdue amount, loan type, account status, or debt details before successful verification.</w:t>
      </w:r>
    </w:p>
    <w:p>
      <w:pPr>
        <w:pStyle w:val="ListBullet"/>
      </w:pPr>
      <w:r>
        <w:t>Use at least two approved verification factors; never request OTPs, PINs, passwords, CVV, or unnecessary secrets.</w:t>
      </w:r>
    </w:p>
    <w:p>
      <w:pPr>
        <w:pStyle w:val="ListBullet"/>
      </w:pPr>
      <w:r>
        <w:t>If a third party answers, do not disclose debt; ask for the intended customer without revealing the reason.</w:t>
      </w:r>
    </w:p>
    <w:p>
      <w:pPr>
        <w:pStyle w:val="ListBullet"/>
      </w:pPr>
      <w:r>
        <w:t>Failed verification terminates or follows an approved retry policy; no bypass.</w:t>
      </w:r>
    </w:p>
    <w:p>
      <w:pPr>
        <w:pStyle w:val="ListBullet"/>
      </w:pPr>
      <w:r>
        <w:t>Minimize PII in logs and mask identifiers/payment references.</w:t>
      </w:r>
    </w:p>
    <w:p>
      <w:pPr>
        <w:pStyle w:val="ListBullet"/>
      </w:pPr>
      <w:r>
        <w:t>Use HTTPS/TLS in transit and encryption/access controls at rest.</w:t>
      </w:r>
    </w:p>
    <w:p>
      <w:pPr>
        <w:pStyle w:val="ListBullet"/>
      </w:pPr>
      <w:r>
        <w:t>Trusted tool responses are authoritative; the LLM must not fabricate amounts, dates, statuses, or links.</w:t>
      </w:r>
    </w:p>
    <w:p>
      <w:pPr>
        <w:pStyle w:val="Heading1"/>
      </w:pPr>
      <w:r>
        <w:t>7. Guardrails &amp; Compliance</w:t>
      </w:r>
    </w:p>
    <w:p>
      <w:pPr>
        <w:pStyle w:val="ListBullet"/>
      </w:pPr>
      <w:r>
        <w:t>Mandatory self/company/purpose disclosure and permitted calling hours.</w:t>
      </w:r>
    </w:p>
    <w:p>
      <w:pPr>
        <w:pStyle w:val="ListBullet"/>
      </w:pPr>
      <w:r>
        <w:t>No threats, intimidation, harassment, deceptive claims, or prohibited pressure.</w:t>
      </w:r>
    </w:p>
    <w:p>
      <w:pPr>
        <w:pStyle w:val="ListBullet"/>
      </w:pPr>
      <w:r>
        <w:t>Immediate do-not-call/opt-out handling and disposition.</w:t>
      </w:r>
    </w:p>
    <w:p>
      <w:pPr>
        <w:pStyle w:val="ListBullet"/>
      </w:pPr>
      <w:r>
        <w:t>Never claim payment success without trusted payment-status confirmation.</w:t>
      </w:r>
    </w:p>
    <w:p>
      <w:pPr>
        <w:pStyle w:val="ListBullet"/>
      </w:pPr>
      <w:r>
        <w:t>Stay on-topic and redirect unrelated requests.</w:t>
      </w:r>
    </w:p>
    <w:p>
      <w:pPr>
        <w:pStyle w:val="ListBullet"/>
      </w:pPr>
      <w:r>
        <w:t>Use deterministic state/tool gates for sensitive actions.</w:t>
      </w:r>
    </w:p>
    <w:p>
      <w:pPr>
        <w:pStyle w:val="ListBullet"/>
      </w:pPr>
      <w:r>
        <w:t>Support English/Hindi switching while preserving the same safety rules.</w:t>
      </w:r>
    </w:p>
    <w:p>
      <w:pPr>
        <w:pStyle w:val="Heading1"/>
      </w:pPr>
      <w:r>
        <w:t>8. Edge Cases &amp; Handling</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63A63"/>
          </w:tcPr>
          <w:p>
            <w:r/>
            <w:r>
              <w:rPr>
                <w:b/>
                <w:color w:val="FFFFFF"/>
                <w:sz w:val="17"/>
              </w:rPr>
              <w:t>Edge case</w:t>
            </w:r>
          </w:p>
        </w:tc>
        <w:tc>
          <w:tcPr>
            <w:tcW w:type="dxa" w:w="5256"/>
            <w:vAlign w:val="center"/>
            <w:shd w:fill="163A63"/>
          </w:tcPr>
          <w:p>
            <w:r/>
            <w:r>
              <w:rPr>
                <w:b/>
                <w:color w:val="FFFFFF"/>
                <w:sz w:val="17"/>
              </w:rPr>
              <w:t>Expected handling</w:t>
            </w:r>
          </w:p>
        </w:tc>
      </w:tr>
      <w:tr>
        <w:tc>
          <w:tcPr>
            <w:tcW w:type="dxa" w:w="5256"/>
            <w:vAlign w:val="center"/>
          </w:tcPr>
          <w:p>
            <w:r/>
            <w:r>
              <w:rPr>
                <w:b w:val="0"/>
                <w:sz w:val="17"/>
              </w:rPr>
              <w:t>Already paid</w:t>
            </w:r>
          </w:p>
        </w:tc>
        <w:tc>
          <w:tcPr>
            <w:tcW w:type="dxa" w:w="5256"/>
            <w:vAlign w:val="center"/>
          </w:tcPr>
          <w:p>
            <w:r/>
            <w:r>
              <w:rPr>
                <w:b w:val="0"/>
                <w:sz w:val="17"/>
              </w:rPr>
              <w:t>Collect payment details; verify/route; no duplicate demand</w:t>
            </w:r>
          </w:p>
        </w:tc>
      </w:tr>
      <w:tr>
        <w:tc>
          <w:tcPr>
            <w:tcW w:type="dxa" w:w="5256"/>
            <w:vAlign w:val="center"/>
          </w:tcPr>
          <w:p>
            <w:r/>
            <w:r>
              <w:rPr>
                <w:b w:val="0"/>
                <w:sz w:val="17"/>
              </w:rPr>
              <w:t>Dispute amount</w:t>
            </w:r>
          </w:p>
        </w:tc>
        <w:tc>
          <w:tcPr>
            <w:tcW w:type="dxa" w:w="5256"/>
            <w:vAlign w:val="center"/>
          </w:tcPr>
          <w:p>
            <w:r/>
            <w:r>
              <w:rPr>
                <w:b w:val="0"/>
                <w:sz w:val="17"/>
              </w:rPr>
              <w:t>Capture reason; no argument; escalate/review</w:t>
            </w:r>
          </w:p>
        </w:tc>
      </w:tr>
      <w:tr>
        <w:tc>
          <w:tcPr>
            <w:tcW w:type="dxa" w:w="5256"/>
            <w:vAlign w:val="center"/>
          </w:tcPr>
          <w:p>
            <w:r/>
            <w:r>
              <w:rPr>
                <w:b w:val="0"/>
                <w:sz w:val="17"/>
              </w:rPr>
              <w:t>Do not call</w:t>
            </w:r>
          </w:p>
        </w:tc>
        <w:tc>
          <w:tcPr>
            <w:tcW w:type="dxa" w:w="5256"/>
            <w:vAlign w:val="center"/>
          </w:tcPr>
          <w:p>
            <w:r/>
            <w:r>
              <w:rPr>
                <w:b w:val="0"/>
                <w:sz w:val="17"/>
              </w:rPr>
              <w:t>Confirm, mark DNC, stop</w:t>
            </w:r>
          </w:p>
        </w:tc>
      </w:tr>
      <w:tr>
        <w:tc>
          <w:tcPr>
            <w:tcW w:type="dxa" w:w="5256"/>
            <w:vAlign w:val="center"/>
          </w:tcPr>
          <w:p>
            <w:r/>
            <w:r>
              <w:rPr>
                <w:b w:val="0"/>
                <w:sz w:val="17"/>
              </w:rPr>
              <w:t>Wrong person / wrong number</w:t>
            </w:r>
          </w:p>
        </w:tc>
        <w:tc>
          <w:tcPr>
            <w:tcW w:type="dxa" w:w="5256"/>
            <w:vAlign w:val="center"/>
          </w:tcPr>
          <w:p>
            <w:r/>
            <w:r>
              <w:rPr>
                <w:b w:val="0"/>
                <w:sz w:val="17"/>
              </w:rPr>
              <w:t>No disclosure; apologize and terminate</w:t>
            </w:r>
          </w:p>
        </w:tc>
      </w:tr>
      <w:tr>
        <w:tc>
          <w:tcPr>
            <w:tcW w:type="dxa" w:w="5256"/>
            <w:vAlign w:val="center"/>
          </w:tcPr>
          <w:p>
            <w:r/>
            <w:r>
              <w:rPr>
                <w:b w:val="0"/>
                <w:sz w:val="17"/>
              </w:rPr>
              <w:t>Voicemail / no input</w:t>
            </w:r>
          </w:p>
        </w:tc>
        <w:tc>
          <w:tcPr>
            <w:tcW w:type="dxa" w:w="5256"/>
            <w:vAlign w:val="center"/>
          </w:tcPr>
          <w:p>
            <w:r/>
            <w:r>
              <w:rPr>
                <w:b w:val="0"/>
                <w:sz w:val="17"/>
              </w:rPr>
              <w:t>Approved generic message if allowed, otherwise end</w:t>
            </w:r>
          </w:p>
        </w:tc>
      </w:tr>
      <w:tr>
        <w:tc>
          <w:tcPr>
            <w:tcW w:type="dxa" w:w="5256"/>
            <w:vAlign w:val="center"/>
          </w:tcPr>
          <w:p>
            <w:r/>
            <w:r>
              <w:rPr>
                <w:b w:val="0"/>
                <w:sz w:val="17"/>
              </w:rPr>
              <w:t>Hostile caller</w:t>
            </w:r>
          </w:p>
        </w:tc>
        <w:tc>
          <w:tcPr>
            <w:tcW w:type="dxa" w:w="5256"/>
            <w:vAlign w:val="center"/>
          </w:tcPr>
          <w:p>
            <w:r/>
            <w:r>
              <w:rPr>
                <w:b w:val="0"/>
                <w:sz w:val="17"/>
              </w:rPr>
              <w:t>Calm boundary; escalate/end</w:t>
            </w:r>
          </w:p>
        </w:tc>
      </w:tr>
      <w:tr>
        <w:tc>
          <w:tcPr>
            <w:tcW w:type="dxa" w:w="5256"/>
            <w:vAlign w:val="center"/>
          </w:tcPr>
          <w:p>
            <w:r/>
            <w:r>
              <w:rPr>
                <w:b w:val="0"/>
                <w:sz w:val="17"/>
              </w:rPr>
              <w:t>Language switch</w:t>
            </w:r>
          </w:p>
        </w:tc>
        <w:tc>
          <w:tcPr>
            <w:tcW w:type="dxa" w:w="5256"/>
            <w:vAlign w:val="center"/>
          </w:tcPr>
          <w:p>
            <w:r/>
            <w:r>
              <w:rPr>
                <w:b w:val="0"/>
                <w:sz w:val="17"/>
              </w:rPr>
              <w:t>EN/HI with unchanged safety gates</w:t>
            </w:r>
          </w:p>
        </w:tc>
      </w:tr>
      <w:tr>
        <w:tc>
          <w:tcPr>
            <w:tcW w:type="dxa" w:w="5256"/>
            <w:vAlign w:val="center"/>
          </w:tcPr>
          <w:p>
            <w:r/>
            <w:r>
              <w:rPr>
                <w:b w:val="0"/>
                <w:sz w:val="17"/>
              </w:rPr>
              <w:t>Network/API failure</w:t>
            </w:r>
          </w:p>
        </w:tc>
        <w:tc>
          <w:tcPr>
            <w:tcW w:type="dxa" w:w="5256"/>
            <w:vAlign w:val="center"/>
          </w:tcPr>
          <w:p>
            <w:r/>
            <w:r>
              <w:rPr>
                <w:b w:val="0"/>
                <w:sz w:val="17"/>
              </w:rPr>
              <w:t>Safe retry; otherwise explain/escalate/log</w:t>
            </w:r>
          </w:p>
        </w:tc>
      </w:tr>
      <w:tr>
        <w:tc>
          <w:tcPr>
            <w:tcW w:type="dxa" w:w="5256"/>
            <w:vAlign w:val="center"/>
          </w:tcPr>
          <w:p>
            <w:r/>
            <w:r>
              <w:rPr>
                <w:b w:val="0"/>
                <w:sz w:val="17"/>
              </w:rPr>
              <w:t>Tool invalid/missing data</w:t>
            </w:r>
          </w:p>
        </w:tc>
        <w:tc>
          <w:tcPr>
            <w:tcW w:type="dxa" w:w="5256"/>
            <w:vAlign w:val="center"/>
          </w:tcPr>
          <w:p>
            <w:r/>
            <w:r>
              <w:rPr>
                <w:b w:val="0"/>
                <w:sz w:val="17"/>
              </w:rPr>
              <w:t>Do not guess; clarify or escalate</w:t>
            </w:r>
          </w:p>
        </w:tc>
      </w:tr>
      <w:tr>
        <w:tc>
          <w:tcPr>
            <w:tcW w:type="dxa" w:w="5256"/>
            <w:vAlign w:val="center"/>
          </w:tcPr>
          <w:p>
            <w:r/>
            <w:r>
              <w:rPr>
                <w:b w:val="0"/>
                <w:sz w:val="17"/>
              </w:rPr>
              <w:t>Human request</w:t>
            </w:r>
          </w:p>
        </w:tc>
        <w:tc>
          <w:tcPr>
            <w:tcW w:type="dxa" w:w="5256"/>
            <w:vAlign w:val="center"/>
          </w:tcPr>
          <w:p>
            <w:r/>
            <w:r>
              <w:rPr>
                <w:b w:val="0"/>
                <w:sz w:val="17"/>
              </w:rPr>
              <w:t>Escalate immediately</w:t>
            </w:r>
          </w:p>
        </w:tc>
      </w:tr>
    </w:tbl>
    <w:p/>
    <w:p>
      <w:pPr>
        <w:pStyle w:val="Heading1"/>
      </w:pPr>
      <w:r>
        <w:t>9. Escalation &amp; Disposition</w:t>
      </w:r>
    </w:p>
    <w:p>
      <w:r>
        <w:t>Escalate when the customer disputes the debt/amount, reports hardship beyond allowed automation policy, requests a human, becomes hostile, or when the agent/tool cannot confidently resolve the case. Every call should end with a disposition such as PTP, paid, dispute, callback_scheduled, escalated, wrong_person, do_not_call, no_answer_voicemail, or dropped.</w:t>
      </w:r>
    </w:p>
    <w:p>
      <w:pPr>
        <w:pStyle w:val="Heading1"/>
      </w:pPr>
      <w:r>
        <w:t>10. Observability &amp; Metrics</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63A63"/>
          </w:tcPr>
          <w:p>
            <w:r/>
            <w:r>
              <w:rPr>
                <w:b/>
                <w:color w:val="FFFFFF"/>
                <w:sz w:val="17"/>
              </w:rPr>
              <w:t>What to log</w:t>
            </w:r>
          </w:p>
        </w:tc>
        <w:tc>
          <w:tcPr>
            <w:tcW w:type="dxa" w:w="5256"/>
            <w:vAlign w:val="center"/>
            <w:shd w:fill="163A63"/>
          </w:tcPr>
          <w:p>
            <w:r/>
            <w:r>
              <w:rPr>
                <w:b/>
                <w:color w:val="FFFFFF"/>
                <w:sz w:val="17"/>
              </w:rPr>
              <w:t>Metrics</w:t>
            </w:r>
          </w:p>
        </w:tc>
      </w:tr>
      <w:tr>
        <w:tc>
          <w:tcPr>
            <w:tcW w:type="dxa" w:w="5256"/>
            <w:vAlign w:val="center"/>
          </w:tcPr>
          <w:p>
            <w:r/>
            <w:r>
              <w:rPr>
                <w:b w:val="0"/>
                <w:sz w:val="17"/>
              </w:rPr>
              <w:t>Call ID, timestamps, duration</w:t>
            </w:r>
          </w:p>
        </w:tc>
        <w:tc>
          <w:tcPr>
            <w:tcW w:type="dxa" w:w="5256"/>
            <w:vAlign w:val="center"/>
          </w:tcPr>
          <w:p>
            <w:r/>
            <w:r>
              <w:rPr>
                <w:b w:val="0"/>
                <w:sz w:val="17"/>
              </w:rPr>
              <w:t>Containment/resolution rate</w:t>
            </w:r>
          </w:p>
        </w:tc>
      </w:tr>
      <w:tr>
        <w:tc>
          <w:tcPr>
            <w:tcW w:type="dxa" w:w="5256"/>
            <w:vAlign w:val="center"/>
          </w:tcPr>
          <w:p>
            <w:r/>
            <w:r>
              <w:rPr>
                <w:b w:val="0"/>
                <w:sz w:val="17"/>
              </w:rPr>
              <w:t>ASR/turn timing</w:t>
            </w:r>
          </w:p>
        </w:tc>
        <w:tc>
          <w:tcPr>
            <w:tcW w:type="dxa" w:w="5256"/>
            <w:vAlign w:val="center"/>
          </w:tcPr>
          <w:p>
            <w:r/>
            <w:r>
              <w:rPr>
                <w:b w:val="0"/>
                <w:sz w:val="17"/>
              </w:rPr>
              <w:t>PTP rate</w:t>
            </w:r>
          </w:p>
        </w:tc>
      </w:tr>
      <w:tr>
        <w:tc>
          <w:tcPr>
            <w:tcW w:type="dxa" w:w="5256"/>
            <w:vAlign w:val="center"/>
          </w:tcPr>
          <w:p>
            <w:r/>
            <w:r>
              <w:rPr>
                <w:b w:val="0"/>
                <w:sz w:val="17"/>
              </w:rPr>
              <w:t>Tool name/status/latency</w:t>
            </w:r>
          </w:p>
        </w:tc>
        <w:tc>
          <w:tcPr>
            <w:tcW w:type="dxa" w:w="5256"/>
            <w:vAlign w:val="center"/>
          </w:tcPr>
          <w:p>
            <w:r/>
            <w:r>
              <w:rPr>
                <w:b w:val="0"/>
                <w:sz w:val="17"/>
              </w:rPr>
              <w:t>Payment-link sent rate</w:t>
            </w:r>
          </w:p>
        </w:tc>
      </w:tr>
      <w:tr>
        <w:tc>
          <w:tcPr>
            <w:tcW w:type="dxa" w:w="5256"/>
            <w:vAlign w:val="center"/>
          </w:tcPr>
          <w:p>
            <w:r/>
            <w:r>
              <w:rPr>
                <w:b w:val="0"/>
                <w:sz w:val="17"/>
              </w:rPr>
              <w:t>State transitions</w:t>
            </w:r>
          </w:p>
        </w:tc>
        <w:tc>
          <w:tcPr>
            <w:tcW w:type="dxa" w:w="5256"/>
            <w:vAlign w:val="center"/>
          </w:tcPr>
          <w:p>
            <w:r/>
            <w:r>
              <w:rPr>
                <w:b w:val="0"/>
                <w:sz w:val="17"/>
              </w:rPr>
              <w:t>Average response latency</w:t>
            </w:r>
          </w:p>
        </w:tc>
      </w:tr>
      <w:tr>
        <w:tc>
          <w:tcPr>
            <w:tcW w:type="dxa" w:w="5256"/>
            <w:vAlign w:val="center"/>
          </w:tcPr>
          <w:p>
            <w:r/>
            <w:r>
              <w:rPr>
                <w:b w:val="0"/>
                <w:sz w:val="17"/>
              </w:rPr>
              <w:t>Disposition/escalation reason</w:t>
            </w:r>
          </w:p>
        </w:tc>
        <w:tc>
          <w:tcPr>
            <w:tcW w:type="dxa" w:w="5256"/>
            <w:vAlign w:val="center"/>
          </w:tcPr>
          <w:p>
            <w:r/>
            <w:r>
              <w:rPr>
                <w:b w:val="0"/>
                <w:sz w:val="17"/>
              </w:rPr>
              <w:t>Drop/failed-call rate</w:t>
            </w:r>
          </w:p>
        </w:tc>
      </w:tr>
      <w:tr>
        <w:tc>
          <w:tcPr>
            <w:tcW w:type="dxa" w:w="5256"/>
            <w:vAlign w:val="center"/>
          </w:tcPr>
          <w:p>
            <w:r/>
            <w:r>
              <w:rPr>
                <w:b w:val="0"/>
                <w:sz w:val="17"/>
              </w:rPr>
              <w:t>Errors/timeouts/retries</w:t>
            </w:r>
          </w:p>
        </w:tc>
        <w:tc>
          <w:tcPr>
            <w:tcW w:type="dxa" w:w="5256"/>
            <w:vAlign w:val="center"/>
          </w:tcPr>
          <w:p>
            <w:r/>
            <w:r>
              <w:rPr>
                <w:b w:val="0"/>
                <w:sz w:val="17"/>
              </w:rPr>
              <w:t>Verification success rate</w:t>
            </w:r>
          </w:p>
        </w:tc>
      </w:tr>
      <w:tr>
        <w:tc>
          <w:tcPr>
            <w:tcW w:type="dxa" w:w="5256"/>
            <w:vAlign w:val="center"/>
          </w:tcPr>
          <w:p>
            <w:r/>
            <w:r>
              <w:rPr>
                <w:b w:val="0"/>
                <w:sz w:val="17"/>
              </w:rPr>
              <w:t>Language/sentiment where permitted</w:t>
            </w:r>
          </w:p>
        </w:tc>
        <w:tc>
          <w:tcPr>
            <w:tcW w:type="dxa" w:w="5256"/>
            <w:vAlign w:val="center"/>
          </w:tcPr>
          <w:p>
            <w:r/>
            <w:r>
              <w:rPr>
                <w:b w:val="0"/>
                <w:sz w:val="17"/>
              </w:rPr>
              <w:t>Escalation/dispute rate</w:t>
            </w:r>
          </w:p>
        </w:tc>
      </w:tr>
    </w:tbl>
    <w:p/>
    <w:p>
      <w:pPr>
        <w:pStyle w:val="Heading1"/>
      </w:pPr>
      <w:r>
        <w:t>11. Testing Strategy</w:t>
      </w:r>
    </w:p>
    <w:p>
      <w:pPr>
        <w:pStyle w:val="ListBullet"/>
      </w:pPr>
      <w:r>
        <w:t>Happy path: verified → overdue disclosure → will-pay → PTP recorded.</w:t>
      </w:r>
    </w:p>
    <w:p>
      <w:pPr>
        <w:pStyle w:val="ListBullet"/>
      </w:pPr>
      <w:r>
        <w:t>Payment-link: verified → requests link → SMS selected → tool succeeds.</w:t>
      </w:r>
    </w:p>
    <w:p>
      <w:pPr>
        <w:pStyle w:val="ListBullet"/>
      </w:pPr>
      <w:r>
        <w:t>Already-paid: payment details collected; no duplicate payment demand.</w:t>
      </w:r>
    </w:p>
    <w:p>
      <w:pPr>
        <w:pStyle w:val="ListBullet"/>
      </w:pPr>
      <w:r>
        <w:t>Wrong-person and DNC: no disclosure and safe termination.</w:t>
      </w:r>
    </w:p>
    <w:p>
      <w:pPr>
        <w:pStyle w:val="ListBullet"/>
      </w:pPr>
      <w:r>
        <w:t>Dispute: capture reason and escalate.</w:t>
      </w:r>
    </w:p>
    <w:p>
      <w:pPr>
        <w:pStyle w:val="ListBullet"/>
      </w:pPr>
      <w:r>
        <w:t>Tool failure: no hallucinated result.</w:t>
      </w:r>
    </w:p>
    <w:p>
      <w:pPr>
        <w:pStyle w:val="ListBullet"/>
      </w:pPr>
      <w:r>
        <w:t>Authentication bypass attempt: debt details remain blocked.</w:t>
      </w:r>
    </w:p>
    <w:p>
      <w:pPr>
        <w:pStyle w:val="ListBullet"/>
      </w:pPr>
      <w:r>
        <w:t>Silence/no-input, hostile caller, callback, and language-switch tests.</w:t>
      </w:r>
    </w:p>
    <w:p>
      <w:pPr>
        <w:pStyle w:val="ListBullet"/>
      </w:pPr>
      <w:r>
        <w:t>Regression-test each published prompt/tool version against the state machine.</w:t>
      </w:r>
    </w:p>
    <w:p>
      <w:pPr>
        <w:pStyle w:val="Heading1"/>
      </w:pPr>
      <w:r>
        <w:t>12. Implementation Notes &amp; Assumptions</w:t>
      </w:r>
    </w:p>
    <w:p>
      <w:pPr>
        <w:pStyle w:val="ListBullet"/>
      </w:pPr>
      <w:r>
        <w:t>Current Vapi build uses mocked HTTPS endpoints exposed through ngrok for development/testing.</w:t>
      </w:r>
    </w:p>
    <w:p>
      <w:pPr>
        <w:pStyle w:val="ListBullet"/>
      </w:pPr>
      <w:r>
        <w:t>Implemented tools: verify_customer, log_promise_to_pay, send_payment_link.</w:t>
      </w:r>
    </w:p>
    <w:p>
      <w:pPr>
        <w:pStyle w:val="ListBullet"/>
      </w:pPr>
      <w:r>
        <w:t>Production would add authenticated server endpoints, persistent CRM/account data, payment-status verification, human handoff, and disposition APIs.</w:t>
      </w:r>
    </w:p>
    <w:p>
      <w:pPr>
        <w:pStyle w:val="ListBullet"/>
      </w:pPr>
      <w:r>
        <w:t>Trusted backend services provide account facts; the LLM does not invent financial data.</w:t>
      </w:r>
    </w:p>
    <w:p>
      <w:pPr>
        <w:pStyle w:val="ListBullet"/>
      </w:pPr>
      <w:r>
        <w:t>Reference scenario: Rahul Sharma, personal loan, overdue EMI ₹8,499, 12 days past due.</w:t>
      </w:r>
    </w:p>
    <w:p>
      <w:pPr>
        <w:pStyle w:val="ListBullet"/>
      </w:pPr>
      <w:r>
        <w:t>Latency figures are engineering targets, not measured production SLAs.</w:t>
      </w:r>
    </w:p>
    <w:p>
      <w:pPr>
        <w:pStyle w:val="Heading1"/>
      </w:pPr>
      <w:r>
        <w:t>13. Current Vapi Build Mapping</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63A63"/>
          </w:tcPr>
          <w:p>
            <w:r/>
            <w:r>
              <w:rPr>
                <w:b/>
                <w:color w:val="FFFFFF"/>
                <w:sz w:val="17"/>
              </w:rPr>
              <w:t>Capability</w:t>
            </w:r>
          </w:p>
        </w:tc>
        <w:tc>
          <w:tcPr>
            <w:tcW w:type="dxa" w:w="5256"/>
            <w:vAlign w:val="center"/>
            <w:shd w:fill="163A63"/>
          </w:tcPr>
          <w:p>
            <w:r/>
            <w:r>
              <w:rPr>
                <w:b/>
                <w:color w:val="FFFFFF"/>
                <w:sz w:val="17"/>
              </w:rPr>
              <w:t>Status</w:t>
            </w:r>
          </w:p>
        </w:tc>
      </w:tr>
      <w:tr>
        <w:tc>
          <w:tcPr>
            <w:tcW w:type="dxa" w:w="5256"/>
            <w:vAlign w:val="center"/>
          </w:tcPr>
          <w:p>
            <w:r/>
            <w:r>
              <w:rPr>
                <w:b w:val="0"/>
                <w:sz w:val="17"/>
              </w:rPr>
              <w:t>Maya assistant + voice</w:t>
            </w:r>
          </w:p>
        </w:tc>
        <w:tc>
          <w:tcPr>
            <w:tcW w:type="dxa" w:w="5256"/>
            <w:vAlign w:val="center"/>
          </w:tcPr>
          <w:p>
            <w:r/>
            <w:r>
              <w:rPr>
                <w:b w:val="0"/>
                <w:sz w:val="17"/>
              </w:rPr>
              <w:t>Implemented and tested</w:t>
            </w:r>
          </w:p>
        </w:tc>
      </w:tr>
      <w:tr>
        <w:tc>
          <w:tcPr>
            <w:tcW w:type="dxa" w:w="5256"/>
            <w:vAlign w:val="center"/>
          </w:tcPr>
          <w:p>
            <w:r/>
            <w:r>
              <w:rPr>
                <w:b w:val="0"/>
                <w:sz w:val="17"/>
              </w:rPr>
              <w:t>First message</w:t>
            </w:r>
          </w:p>
        </w:tc>
        <w:tc>
          <w:tcPr>
            <w:tcW w:type="dxa" w:w="5256"/>
            <w:vAlign w:val="center"/>
          </w:tcPr>
          <w:p>
            <w:r/>
            <w:r>
              <w:rPr>
                <w:b w:val="0"/>
                <w:sz w:val="17"/>
              </w:rPr>
              <w:t>Implemented and tested</w:t>
            </w:r>
          </w:p>
        </w:tc>
      </w:tr>
      <w:tr>
        <w:tc>
          <w:tcPr>
            <w:tcW w:type="dxa" w:w="5256"/>
            <w:vAlign w:val="center"/>
          </w:tcPr>
          <w:p>
            <w:r/>
            <w:r>
              <w:rPr>
                <w:b w:val="0"/>
                <w:sz w:val="17"/>
              </w:rPr>
              <w:t>verify_customer</w:t>
            </w:r>
          </w:p>
        </w:tc>
        <w:tc>
          <w:tcPr>
            <w:tcW w:type="dxa" w:w="5256"/>
            <w:vAlign w:val="center"/>
          </w:tcPr>
          <w:p>
            <w:r/>
            <w:r>
              <w:rPr>
                <w:b w:val="0"/>
                <w:sz w:val="17"/>
              </w:rPr>
              <w:t>Published and tested</w:t>
            </w:r>
          </w:p>
        </w:tc>
      </w:tr>
      <w:tr>
        <w:tc>
          <w:tcPr>
            <w:tcW w:type="dxa" w:w="5256"/>
            <w:vAlign w:val="center"/>
          </w:tcPr>
          <w:p>
            <w:r/>
            <w:r>
              <w:rPr>
                <w:b w:val="0"/>
                <w:sz w:val="17"/>
              </w:rPr>
              <w:t>log_promise_to_pay</w:t>
            </w:r>
          </w:p>
        </w:tc>
        <w:tc>
          <w:tcPr>
            <w:tcW w:type="dxa" w:w="5256"/>
            <w:vAlign w:val="center"/>
          </w:tcPr>
          <w:p>
            <w:r/>
            <w:r>
              <w:rPr>
                <w:b w:val="0"/>
                <w:sz w:val="17"/>
              </w:rPr>
              <w:t>Published and tested</w:t>
            </w:r>
          </w:p>
        </w:tc>
      </w:tr>
      <w:tr>
        <w:tc>
          <w:tcPr>
            <w:tcW w:type="dxa" w:w="5256"/>
            <w:vAlign w:val="center"/>
          </w:tcPr>
          <w:p>
            <w:r/>
            <w:r>
              <w:rPr>
                <w:b w:val="0"/>
                <w:sz w:val="17"/>
              </w:rPr>
              <w:t>send_payment_link</w:t>
            </w:r>
          </w:p>
        </w:tc>
        <w:tc>
          <w:tcPr>
            <w:tcW w:type="dxa" w:w="5256"/>
            <w:vAlign w:val="center"/>
          </w:tcPr>
          <w:p>
            <w:r/>
            <w:r>
              <w:rPr>
                <w:b w:val="0"/>
                <w:sz w:val="17"/>
              </w:rPr>
              <w:t>Published and tested</w:t>
            </w:r>
          </w:p>
        </w:tc>
      </w:tr>
      <w:tr>
        <w:tc>
          <w:tcPr>
            <w:tcW w:type="dxa" w:w="5256"/>
            <w:vAlign w:val="center"/>
          </w:tcPr>
          <w:p>
            <w:r/>
            <w:r>
              <w:rPr>
                <w:b w:val="0"/>
                <w:sz w:val="17"/>
              </w:rPr>
              <w:t>Promise-to-pay scenario</w:t>
            </w:r>
          </w:p>
        </w:tc>
        <w:tc>
          <w:tcPr>
            <w:tcW w:type="dxa" w:w="5256"/>
            <w:vAlign w:val="center"/>
          </w:tcPr>
          <w:p>
            <w:r/>
            <w:r>
              <w:rPr>
                <w:b w:val="0"/>
                <w:sz w:val="17"/>
              </w:rPr>
              <w:t>Tested</w:t>
            </w:r>
          </w:p>
        </w:tc>
      </w:tr>
      <w:tr>
        <w:tc>
          <w:tcPr>
            <w:tcW w:type="dxa" w:w="5256"/>
            <w:vAlign w:val="center"/>
          </w:tcPr>
          <w:p>
            <w:r/>
            <w:r>
              <w:rPr>
                <w:b w:val="0"/>
                <w:sz w:val="17"/>
              </w:rPr>
              <w:t>Already-paid scenario</w:t>
            </w:r>
          </w:p>
        </w:tc>
        <w:tc>
          <w:tcPr>
            <w:tcW w:type="dxa" w:w="5256"/>
            <w:vAlign w:val="center"/>
          </w:tcPr>
          <w:p>
            <w:r/>
            <w:r>
              <w:rPr>
                <w:b w:val="0"/>
                <w:sz w:val="17"/>
              </w:rPr>
              <w:t>Tested</w:t>
            </w:r>
          </w:p>
        </w:tc>
      </w:tr>
      <w:tr>
        <w:tc>
          <w:tcPr>
            <w:tcW w:type="dxa" w:w="5256"/>
            <w:vAlign w:val="center"/>
          </w:tcPr>
          <w:p>
            <w:r/>
            <w:r>
              <w:rPr>
                <w:b w:val="0"/>
                <w:sz w:val="17"/>
              </w:rPr>
              <w:t>Human escalation conversation</w:t>
            </w:r>
          </w:p>
        </w:tc>
        <w:tc>
          <w:tcPr>
            <w:tcW w:type="dxa" w:w="5256"/>
            <w:vAlign w:val="center"/>
          </w:tcPr>
          <w:p>
            <w:r/>
            <w:r>
              <w:rPr>
                <w:b w:val="0"/>
                <w:sz w:val="17"/>
              </w:rPr>
              <w:t>Tested</w:t>
            </w:r>
          </w:p>
        </w:tc>
      </w:tr>
      <w:tr>
        <w:tc>
          <w:tcPr>
            <w:tcW w:type="dxa" w:w="5256"/>
            <w:vAlign w:val="center"/>
          </w:tcPr>
          <w:p>
            <w:r/>
            <w:r>
              <w:rPr>
                <w:b w:val="0"/>
                <w:sz w:val="17"/>
              </w:rPr>
              <w:t>Production escalate_to_agent API</w:t>
            </w:r>
          </w:p>
        </w:tc>
        <w:tc>
          <w:tcPr>
            <w:tcW w:type="dxa" w:w="5256"/>
            <w:vAlign w:val="center"/>
          </w:tcPr>
          <w:p>
            <w:r/>
            <w:r>
              <w:rPr>
                <w:b w:val="0"/>
                <w:sz w:val="17"/>
              </w:rPr>
              <w:t>Not implemented</w:t>
            </w:r>
          </w:p>
        </w:tc>
      </w:tr>
      <w:tr>
        <w:tc>
          <w:tcPr>
            <w:tcW w:type="dxa" w:w="5256"/>
            <w:vAlign w:val="center"/>
          </w:tcPr>
          <w:p>
            <w:r/>
            <w:r>
              <w:rPr>
                <w:b w:val="0"/>
                <w:sz w:val="17"/>
              </w:rPr>
              <w:t>Production mark_disposition API</w:t>
            </w:r>
          </w:p>
        </w:tc>
        <w:tc>
          <w:tcPr>
            <w:tcW w:type="dxa" w:w="5256"/>
            <w:vAlign w:val="center"/>
          </w:tcPr>
          <w:p>
            <w:r/>
            <w:r>
              <w:rPr>
                <w:b w:val="0"/>
                <w:sz w:val="17"/>
              </w:rPr>
              <w:t>Not implemented</w:t>
            </w:r>
          </w:p>
        </w:tc>
      </w:tr>
      <w:tr>
        <w:tc>
          <w:tcPr>
            <w:tcW w:type="dxa" w:w="5256"/>
            <w:vAlign w:val="center"/>
          </w:tcPr>
          <w:p>
            <w:r/>
            <w:r>
              <w:rPr>
                <w:b w:val="0"/>
                <w:sz w:val="17"/>
              </w:rPr>
              <w:t>Real payment-status confirmation</w:t>
            </w:r>
          </w:p>
        </w:tc>
        <w:tc>
          <w:tcPr>
            <w:tcW w:type="dxa" w:w="5256"/>
            <w:vAlign w:val="center"/>
          </w:tcPr>
          <w:p>
            <w:r/>
            <w:r>
              <w:rPr>
                <w:b w:val="0"/>
                <w:sz w:val="17"/>
              </w:rPr>
              <w:t>Not implemented; mock flow</w:t>
            </w:r>
          </w:p>
        </w:tc>
      </w:tr>
    </w:tbl>
    <w:p/>
    <w:p>
      <w:pPr>
        <w:pStyle w:val="Heading1"/>
      </w:pPr>
      <w:r>
        <w:t>Conclusion</w:t>
      </w:r>
    </w:p>
    <w:p>
      <w:r>
        <w:t>The design provides a compliant, state-controlled collections voicebot that automates routine conversations while protecting customer data and providing safe paths for PTP, payment links, already-paid claims, disputes, opt-outs, callbacks, and human escalation. The key engineering control is explicit authentication state-gating before debt disclosure.</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A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