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200"/>
        <w:jc w:val="center"/>
      </w:pPr>
      <w:r>
        <w:rPr>
          <w:rFonts w:ascii="Arial" w:cs="Arial" w:eastAsia="Arial" w:hAnsi="Arial"/>
          <w:b/>
          <w:bCs/>
          <w:caps/>
          <w:color w:val="666666"/>
          <w:sz w:val="22"/>
          <w:szCs w:val="22"/>
        </w:rPr>
        <w:t xml:space="preserve">ENTITY RELATIONSHIP DIAGRAM (ERD)</w:t>
      </w:r>
    </w:p>
    <w:p>
      <w:pPr>
        <w:pBdr>
          <w:bottom w:val="single" w:color="1B4F72" w:sz="18" w:space="1"/>
        </w:pBdr>
        <w:spacing w:after="100"/>
        <w:jc w:val="center"/>
      </w:pPr>
      <w:r>
        <w:rPr>
          <w:rFonts w:ascii="Arial" w:cs="Arial" w:eastAsia="Arial" w:hAnsi="Arial"/>
          <w:b/>
          <w:bCs/>
          <w:color w:val="1B4F72"/>
          <w:sz w:val="48"/>
          <w:szCs w:val="48"/>
        </w:rPr>
        <w:t xml:space="preserve">CareSync 360</w:t>
      </w:r>
    </w:p>
    <w:p>
      <w:pPr>
        <w:spacing w:after="400" w:before="200"/>
        <w:jc w:val="center"/>
      </w:pPr>
      <w:r>
        <w:rPr>
          <w:rFonts w:ascii="Arial" w:cs="Arial" w:eastAsia="Arial" w:hAnsi="Arial"/>
          <w:i/>
          <w:iCs/>
          <w:color w:val="2874A6"/>
          <w:sz w:val="22"/>
          <w:szCs w:val="22"/>
        </w:rPr>
        <w:t xml:space="preserve">Intelligent Patient Care Coordination &amp; Clinical Workflow Automation Platform</w:t>
      </w:r>
    </w:p>
    <w:p>
      <w:pPr>
        <w:spacing w:before="300"/>
      </w:pP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2800"/>
        <w:gridCol w:w="3700"/>
      </w:tblGrid>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Document Version</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1.0</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Document Type</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Entity Relationship Diagram (ERD)</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Platform</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ServiceNow App Engine Studio (Australia Release)</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Application</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CareSync 360</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Prepared By</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Enterprise Data Architecture Team</w:t>
            </w:r>
          </w:p>
        </w:tc>
      </w:tr>
      <w:tr>
        <w:tc>
          <w:tcPr>
            <w:tcW w:type="dxa" w:w="2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Status</w:t>
            </w:r>
          </w:p>
        </w:tc>
        <w:tc>
          <w:tcPr>
            <w:tcW w:type="dxa" w:w="37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Draft</w:t>
            </w:r>
          </w:p>
        </w:tc>
      </w:tr>
    </w:tbl>
    <w:p>
      <w:r>
        <w:br w:type="page"/>
      </w:r>
    </w:p>
    <w:p>
      <w:pPr>
        <w:pStyle w:val="Heading1"/>
        <w:spacing w:after="200" w:before="360"/>
      </w:pPr>
      <w:r>
        <w:rPr>
          <w:rFonts w:ascii="Arial" w:cs="Arial" w:eastAsia="Arial" w:hAnsi="Arial"/>
          <w:b/>
          <w:bCs/>
          <w:color w:val="1B4F72"/>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61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Document Name</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Entity Relationship Diagram (ERD)</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Product</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CareSync 360</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Version</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1.0</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Platform</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ServiceNow Australia Release</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Database Model</w:t>
            </w:r>
          </w:p>
        </w:tc>
        <w:tc>
          <w:tcPr>
            <w:tcW w:type="dxa" w:w="61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Relational (3NF)</w:t>
            </w:r>
          </w:p>
        </w:tc>
      </w:tr>
      <w:tr>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Status</w:t>
            </w:r>
          </w:p>
        </w:tc>
        <w:tc>
          <w:tcPr>
            <w:tcW w:type="dxa" w:w="61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Draft</w:t>
            </w:r>
          </w:p>
        </w:tc>
      </w:tr>
    </w:tbl>
    <w:p>
      <w:pPr>
        <w:pStyle w:val="Heading1"/>
        <w:spacing w:after="200" w:before="360"/>
      </w:pPr>
      <w:r>
        <w:rPr>
          <w:rFonts w:ascii="Arial" w:cs="Arial" w:eastAsia="Arial" w:hAnsi="Arial"/>
          <w:b/>
          <w:bCs/>
          <w:color w:val="1B4F72"/>
          <w:sz w:val="28"/>
          <w:szCs w:val="28"/>
        </w:rPr>
        <w:t xml:space="preserve">1. Purpose</w:t>
      </w:r>
    </w:p>
    <w:p>
      <w:pPr>
        <w:spacing w:after="120"/>
      </w:pPr>
      <w:r>
        <w:rPr>
          <w:rFonts w:ascii="Arial" w:cs="Arial" w:eastAsia="Arial" w:hAnsi="Arial"/>
          <w:sz w:val="20"/>
          <w:szCs w:val="20"/>
        </w:rPr>
        <w:t xml:space="preserve">The Entity Relationship Diagram (ERD) defines the logical and physical relationships between all entities in the CareSync 360 application. It serves as the master blueprint for implementing the ServiceNow data model using scoped application tables and reference fields.</w:t>
      </w:r>
    </w:p>
    <w:p>
      <w:pPr>
        <w:spacing w:after="120"/>
      </w:pPr>
      <w:r>
        <w:rPr>
          <w:rFonts w:ascii="Arial" w:cs="Arial" w:eastAsia="Arial" w:hAnsi="Arial"/>
          <w:sz w:val="20"/>
          <w:szCs w:val="20"/>
        </w:rPr>
        <w:t xml:space="preserve">The ERD ensures:</w:t>
      </w:r>
    </w:p>
    <w:p>
      <w:pPr>
        <w:pStyle w:val="ListParagraph"/>
        <w:numPr>
          <w:ilvl w:val="0"/>
          <w:numId w:val="2"/>
        </w:numPr>
        <w:spacing w:after="50"/>
      </w:pPr>
      <w:r>
        <w:rPr>
          <w:rFonts w:ascii="Arial" w:cs="Arial" w:eastAsia="Arial" w:hAnsi="Arial"/>
          <w:sz w:val="20"/>
          <w:szCs w:val="20"/>
        </w:rPr>
        <w:t xml:space="preserve">Consistent relationships</w:t>
      </w:r>
    </w:p>
    <w:p>
      <w:pPr>
        <w:pStyle w:val="ListParagraph"/>
        <w:numPr>
          <w:ilvl w:val="0"/>
          <w:numId w:val="2"/>
        </w:numPr>
        <w:spacing w:after="50"/>
      </w:pPr>
      <w:r>
        <w:rPr>
          <w:rFonts w:ascii="Arial" w:cs="Arial" w:eastAsia="Arial" w:hAnsi="Arial"/>
          <w:sz w:val="20"/>
          <w:szCs w:val="20"/>
        </w:rPr>
        <w:t xml:space="preserve">Data integrity</w:t>
      </w:r>
    </w:p>
    <w:p>
      <w:pPr>
        <w:pStyle w:val="ListParagraph"/>
        <w:numPr>
          <w:ilvl w:val="0"/>
          <w:numId w:val="2"/>
        </w:numPr>
        <w:spacing w:after="50"/>
      </w:pPr>
      <w:r>
        <w:rPr>
          <w:rFonts w:ascii="Arial" w:cs="Arial" w:eastAsia="Arial" w:hAnsi="Arial"/>
          <w:sz w:val="20"/>
          <w:szCs w:val="20"/>
        </w:rPr>
        <w:t xml:space="preserve">Minimal redundancy</w:t>
      </w:r>
    </w:p>
    <w:p>
      <w:pPr>
        <w:pStyle w:val="ListParagraph"/>
        <w:numPr>
          <w:ilvl w:val="0"/>
          <w:numId w:val="2"/>
        </w:numPr>
        <w:spacing w:after="50"/>
      </w:pPr>
      <w:r>
        <w:rPr>
          <w:rFonts w:ascii="Arial" w:cs="Arial" w:eastAsia="Arial" w:hAnsi="Arial"/>
          <w:sz w:val="20"/>
          <w:szCs w:val="20"/>
        </w:rPr>
        <w:t xml:space="preserve">Efficient querying</w:t>
      </w:r>
    </w:p>
    <w:p>
      <w:pPr>
        <w:pStyle w:val="ListParagraph"/>
        <w:numPr>
          <w:ilvl w:val="0"/>
          <w:numId w:val="2"/>
        </w:numPr>
        <w:spacing w:after="50"/>
      </w:pPr>
      <w:r>
        <w:rPr>
          <w:rFonts w:ascii="Arial" w:cs="Arial" w:eastAsia="Arial" w:hAnsi="Arial"/>
          <w:sz w:val="20"/>
          <w:szCs w:val="20"/>
        </w:rPr>
        <w:t xml:space="preserve">Scalability</w:t>
      </w:r>
    </w:p>
    <w:p>
      <w:pPr>
        <w:pStyle w:val="ListParagraph"/>
        <w:numPr>
          <w:ilvl w:val="0"/>
          <w:numId w:val="2"/>
        </w:numPr>
        <w:spacing w:after="50"/>
      </w:pPr>
      <w:r>
        <w:rPr>
          <w:rFonts w:ascii="Arial" w:cs="Arial" w:eastAsia="Arial" w:hAnsi="Arial"/>
          <w:sz w:val="20"/>
          <w:szCs w:val="20"/>
        </w:rPr>
        <w:t xml:space="preserve">Upgrade-safe design</w:t>
      </w:r>
    </w:p>
    <w:p>
      <w:pPr>
        <w:pStyle w:val="Heading1"/>
        <w:spacing w:after="200" w:before="360"/>
      </w:pPr>
      <w:r>
        <w:rPr>
          <w:rFonts w:ascii="Arial" w:cs="Arial" w:eastAsia="Arial" w:hAnsi="Arial"/>
          <w:b/>
          <w:bCs/>
          <w:color w:val="1B4F72"/>
          <w:sz w:val="28"/>
          <w:szCs w:val="28"/>
        </w:rPr>
        <w:t xml:space="preserve">2. ERD Design Principles</w:t>
      </w:r>
    </w:p>
    <w:p>
      <w:pPr>
        <w:pStyle w:val="ListParagraph"/>
        <w:numPr>
          <w:ilvl w:val="0"/>
          <w:numId w:val="3"/>
        </w:numPr>
        <w:spacing w:after="50"/>
      </w:pPr>
      <w:r>
        <w:rPr>
          <w:rFonts w:ascii="Arial" w:cs="Arial" w:eastAsia="Arial" w:hAnsi="Arial"/>
          <w:sz w:val="20"/>
          <w:szCs w:val="20"/>
        </w:rPr>
        <w:t xml:space="preserve">Third Normal Form (3NF)</w:t>
      </w:r>
    </w:p>
    <w:p>
      <w:pPr>
        <w:pStyle w:val="ListParagraph"/>
        <w:numPr>
          <w:ilvl w:val="0"/>
          <w:numId w:val="3"/>
        </w:numPr>
        <w:spacing w:after="50"/>
      </w:pPr>
      <w:r>
        <w:rPr>
          <w:rFonts w:ascii="Arial" w:cs="Arial" w:eastAsia="Arial" w:hAnsi="Arial"/>
          <w:sz w:val="20"/>
          <w:szCs w:val="20"/>
        </w:rPr>
        <w:t xml:space="preserve">No duplicate master data</w:t>
      </w:r>
    </w:p>
    <w:p>
      <w:pPr>
        <w:pStyle w:val="ListParagraph"/>
        <w:numPr>
          <w:ilvl w:val="0"/>
          <w:numId w:val="3"/>
        </w:numPr>
        <w:spacing w:after="50"/>
      </w:pPr>
      <w:r>
        <w:rPr>
          <w:rFonts w:ascii="Arial" w:cs="Arial" w:eastAsia="Arial" w:hAnsi="Arial"/>
          <w:sz w:val="20"/>
          <w:szCs w:val="20"/>
        </w:rPr>
        <w:t xml:space="preserve">One source of truth for each entity</w:t>
      </w:r>
    </w:p>
    <w:p>
      <w:pPr>
        <w:pStyle w:val="ListParagraph"/>
        <w:numPr>
          <w:ilvl w:val="0"/>
          <w:numId w:val="3"/>
        </w:numPr>
        <w:spacing w:after="50"/>
      </w:pPr>
      <w:r>
        <w:rPr>
          <w:rFonts w:ascii="Arial" w:cs="Arial" w:eastAsia="Arial" w:hAnsi="Arial"/>
          <w:sz w:val="20"/>
          <w:szCs w:val="20"/>
        </w:rPr>
        <w:t xml:space="preserve">Reference-based relationships</w:t>
      </w:r>
    </w:p>
    <w:p>
      <w:pPr>
        <w:pStyle w:val="ListParagraph"/>
        <w:numPr>
          <w:ilvl w:val="0"/>
          <w:numId w:val="3"/>
        </w:numPr>
        <w:spacing w:after="50"/>
      </w:pPr>
      <w:r>
        <w:rPr>
          <w:rFonts w:ascii="Arial" w:cs="Arial" w:eastAsia="Arial" w:hAnsi="Arial"/>
          <w:sz w:val="20"/>
          <w:szCs w:val="20"/>
        </w:rPr>
        <w:t xml:space="preserve">Scalable architecture</w:t>
      </w:r>
    </w:p>
    <w:p>
      <w:pPr>
        <w:pStyle w:val="ListParagraph"/>
        <w:numPr>
          <w:ilvl w:val="0"/>
          <w:numId w:val="3"/>
        </w:numPr>
        <w:spacing w:after="50"/>
      </w:pPr>
      <w:r>
        <w:rPr>
          <w:rFonts w:ascii="Arial" w:cs="Arial" w:eastAsia="Arial" w:hAnsi="Arial"/>
          <w:sz w:val="20"/>
          <w:szCs w:val="20"/>
        </w:rPr>
        <w:t xml:space="preserve">Audit-ready</w:t>
      </w:r>
    </w:p>
    <w:p>
      <w:pPr>
        <w:pStyle w:val="ListParagraph"/>
        <w:numPr>
          <w:ilvl w:val="0"/>
          <w:numId w:val="3"/>
        </w:numPr>
        <w:spacing w:after="50"/>
      </w:pPr>
      <w:r>
        <w:rPr>
          <w:rFonts w:ascii="Arial" w:cs="Arial" w:eastAsia="Arial" w:hAnsi="Arial"/>
          <w:sz w:val="20"/>
          <w:szCs w:val="20"/>
        </w:rPr>
        <w:t xml:space="preserve">Domain separation ready</w:t>
      </w:r>
    </w:p>
    <w:p>
      <w:pPr>
        <w:pStyle w:val="ListParagraph"/>
        <w:numPr>
          <w:ilvl w:val="0"/>
          <w:numId w:val="3"/>
        </w:numPr>
        <w:spacing w:after="50"/>
      </w:pPr>
      <w:r>
        <w:rPr>
          <w:rFonts w:ascii="Arial" w:cs="Arial" w:eastAsia="Arial" w:hAnsi="Arial"/>
          <w:sz w:val="20"/>
          <w:szCs w:val="20"/>
        </w:rPr>
        <w:t xml:space="preserve">Future FHIR/HL7 compatibility</w:t>
      </w:r>
    </w:p>
    <w:p>
      <w:pPr>
        <w:pStyle w:val="Heading1"/>
        <w:spacing w:after="200" w:before="360"/>
      </w:pPr>
      <w:r>
        <w:rPr>
          <w:rFonts w:ascii="Arial" w:cs="Arial" w:eastAsia="Arial" w:hAnsi="Arial"/>
          <w:b/>
          <w:bCs/>
          <w:color w:val="1B4F72"/>
          <w:sz w:val="28"/>
          <w:szCs w:val="28"/>
        </w:rPr>
        <w:t xml:space="preserve">3. Logical ERD</w:t>
      </w:r>
    </w:p>
    <w:p>
      <w:pPr>
        <w:spacing w:after="14"/>
        <w:ind w:left="360"/>
      </w:pPr>
      <w:r>
        <w:rPr>
          <w:rFonts w:ascii="Consolas" w:cs="Consolas" w:eastAsia="Consolas" w:hAnsi="Consolas"/>
          <w:color w:val="2C3E50"/>
          <w:sz w:val="16"/>
          <w:szCs w:val="16"/>
        </w:rPr>
        <w:t xml:space="preserve">                                   Hospital</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│1</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│N</w:t>
      </w:r>
    </w:p>
    <w:p>
      <w:pPr>
        <w:spacing w:after="14"/>
        <w:ind w:left="360"/>
      </w:pPr>
      <w:r>
        <w:rPr>
          <w:rFonts w:ascii="Consolas" w:cs="Consolas" w:eastAsia="Consolas" w:hAnsi="Consolas"/>
          <w:color w:val="2C3E50"/>
          <w:sz w:val="16"/>
          <w:szCs w:val="16"/>
        </w:rPr>
        <w:t xml:space="preserve">                               Department</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│1</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│N</w:t>
      </w:r>
    </w:p>
    <w:p>
      <w:pPr>
        <w:spacing w:after="14"/>
        <w:ind w:left="360"/>
      </w:pPr>
      <w:r>
        <w:rPr>
          <w:rFonts w:ascii="Consolas" w:cs="Consolas" w:eastAsia="Consolas" w:hAnsi="Consolas"/>
          <w:color w:val="2C3E50"/>
          <w:sz w:val="16"/>
          <w:szCs w:val="16"/>
        </w:rPr>
        <w:t xml:space="preserve">                                    Ward</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│1</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│N</w:t>
      </w:r>
    </w:p>
    <w:p>
      <w:pPr>
        <w:spacing w:after="14"/>
        <w:ind w:left="360"/>
      </w:pPr>
      <w:r>
        <w:rPr>
          <w:rFonts w:ascii="Consolas" w:cs="Consolas" w:eastAsia="Consolas" w:hAnsi="Consolas"/>
          <w:color w:val="2C3E50"/>
          <w:sz w:val="16"/>
          <w:szCs w:val="16"/>
        </w:rPr>
        <w:t xml:space="preserve">                                     Bed</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│1</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│N</w:t>
      </w:r>
    </w:p>
    <w:p>
      <w:pPr>
        <w:spacing w:after="14"/>
        <w:ind w:left="360"/>
      </w:pPr>
      <w:r>
        <w:rPr>
          <w:rFonts w:ascii="Consolas" w:cs="Consolas" w:eastAsia="Consolas" w:hAnsi="Consolas"/>
          <w:color w:val="2C3E50"/>
          <w:sz w:val="16"/>
          <w:szCs w:val="16"/>
        </w:rPr>
        <w:t xml:space="preserve">                                  Admission</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│N</w:t>
      </w:r>
    </w:p>
    <w:p>
      <w:pPr>
        <w:spacing w:after="14"/>
        <w:ind w:left="360"/>
      </w:pPr>
      <w:r>
        <w:rPr>
          <w:rFonts w:ascii="Consolas" w:cs="Consolas" w:eastAsia="Consolas" w:hAnsi="Consolas"/>
          <w:color w:val="2C3E50"/>
          <w:sz w:val="16"/>
          <w:szCs w:val="16"/>
        </w:rPr>
        <w:t xml:space="preserve">Patient ────────────────1─────────────┘</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│1</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│N</w:t>
      </w:r>
    </w:p>
    <w:p>
      <w:pPr>
        <w:spacing w:after="14"/>
        <w:ind w:left="360"/>
      </w:pPr>
      <w:r>
        <w:rPr>
          <w:rFonts w:ascii="Consolas" w:cs="Consolas" w:eastAsia="Consolas" w:hAnsi="Consolas"/>
          <w:color w:val="2C3E50"/>
          <w:sz w:val="16"/>
          <w:szCs w:val="16"/>
        </w:rPr>
        <w:t xml:space="preserve">Care Plan</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│1</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│N</w:t>
      </w:r>
    </w:p>
    <w:p>
      <w:pPr>
        <w:spacing w:after="14"/>
        <w:ind w:left="360"/>
      </w:pPr>
      <w:r>
        <w:rPr>
          <w:rFonts w:ascii="Consolas" w:cs="Consolas" w:eastAsia="Consolas" w:hAnsi="Consolas"/>
          <w:color w:val="2C3E50"/>
          <w:sz w:val="16"/>
          <w:szCs w:val="16"/>
        </w:rPr>
        <w:t xml:space="preserve">Care Milestone</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│1</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│N</w:t>
      </w:r>
    </w:p>
    <w:p>
      <w:pPr>
        <w:spacing w:after="14"/>
        <w:ind w:left="360"/>
      </w:pPr>
      <w:r>
        <w:rPr>
          <w:rFonts w:ascii="Consolas" w:cs="Consolas" w:eastAsia="Consolas" w:hAnsi="Consolas"/>
          <w:color w:val="2C3E50"/>
          <w:sz w:val="16"/>
          <w:szCs w:val="16"/>
        </w:rPr>
        <w:t xml:space="preserve">Clinical Task</w:t>
      </w:r>
    </w:p>
    <w:p>
      <w:pPr>
        <w:spacing w:after="120"/>
      </w:pPr>
    </w:p>
    <w:p>
      <w:pPr>
        <w:pStyle w:val="Heading1"/>
        <w:spacing w:after="200" w:before="360"/>
      </w:pPr>
      <w:r>
        <w:rPr>
          <w:rFonts w:ascii="Arial" w:cs="Arial" w:eastAsia="Arial" w:hAnsi="Arial"/>
          <w:b/>
          <w:bCs/>
          <w:color w:val="1B4F72"/>
          <w:sz w:val="28"/>
          <w:szCs w:val="28"/>
        </w:rPr>
        <w:t xml:space="preserve">4. Complete Enterprise ERD</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     Hospital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|1</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|N</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   Department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1         |        N</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      Ward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1         |        N</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       Bed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    Admission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   ^    ^    ^</w:t>
      </w:r>
    </w:p>
    <w:p>
      <w:pPr>
        <w:spacing w:after="14"/>
        <w:ind w:left="360"/>
      </w:pPr>
      <w:r>
        <w:rPr>
          <w:rFonts w:ascii="Consolas" w:cs="Consolas" w:eastAsia="Consolas" w:hAnsi="Consolas"/>
          <w:color w:val="2C3E50"/>
          <w:sz w:val="16"/>
          <w:szCs w:val="16"/>
        </w:rPr>
        <w:t xml:space="preserve">                                                  |   |    |    |</w:t>
      </w:r>
    </w:p>
    <w:p>
      <w:pPr>
        <w:spacing w:after="14"/>
        <w:ind w:left="360"/>
      </w:pPr>
      <w:r>
        <w:rPr>
          <w:rFonts w:ascii="Consolas" w:cs="Consolas" w:eastAsia="Consolas" w:hAnsi="Consolas"/>
          <w:color w:val="2C3E50"/>
          <w:sz w:val="16"/>
          <w:szCs w:val="16"/>
        </w:rPr>
        <w:t xml:space="preserve">                                                  |   |    |    |</w:t>
      </w:r>
    </w:p>
    <w:p>
      <w:pPr>
        <w:spacing w:after="14"/>
        <w:ind w:left="360"/>
      </w:pPr>
      <w:r>
        <w:rPr>
          <w:rFonts w:ascii="Consolas" w:cs="Consolas" w:eastAsia="Consolas" w:hAnsi="Consolas"/>
          <w:color w:val="2C3E50"/>
          <w:sz w:val="16"/>
          <w:szCs w:val="16"/>
        </w:rPr>
        <w:t xml:space="preserve">                             +---------------------+   |    |    +-------------------+</w:t>
      </w:r>
    </w:p>
    <w:p>
      <w:pPr>
        <w:spacing w:after="14"/>
        <w:ind w:left="360"/>
      </w:pPr>
      <w:r>
        <w:rPr>
          <w:rFonts w:ascii="Consolas" w:cs="Consolas" w:eastAsia="Consolas" w:hAnsi="Consolas"/>
          <w:color w:val="2C3E50"/>
          <w:sz w:val="16"/>
          <w:szCs w:val="16"/>
        </w:rPr>
        <w:t xml:space="preserve">                             |                         |    |                        |</w:t>
      </w:r>
    </w:p>
    <w:p>
      <w:pPr>
        <w:spacing w:after="14"/>
        <w:ind w:left="360"/>
      </w:pPr>
      <w:r>
        <w:rPr>
          <w:rFonts w:ascii="Consolas" w:cs="Consolas" w:eastAsia="Consolas" w:hAnsi="Consolas"/>
          <w:color w:val="2C3E50"/>
          <w:sz w:val="16"/>
          <w:szCs w:val="16"/>
        </w:rPr>
        <w:t xml:space="preserve">                             |                         |    |                        |</w:t>
      </w:r>
    </w:p>
    <w:p>
      <w:pPr>
        <w:spacing w:after="14"/>
        <w:ind w:left="360"/>
      </w:pPr>
      <w:r>
        <w:rPr>
          <w:rFonts w:ascii="Consolas" w:cs="Consolas" w:eastAsia="Consolas" w:hAnsi="Consolas"/>
          <w:color w:val="2C3E50"/>
          <w:sz w:val="16"/>
          <w:szCs w:val="16"/>
        </w:rPr>
        <w:t xml:space="preserve">                             |                         |    |                        |</w:t>
      </w:r>
    </w:p>
    <w:p>
      <w:pPr>
        <w:spacing w:after="14"/>
        <w:ind w:left="360"/>
      </w:pPr>
      <w:r>
        <w:rPr>
          <w:rFonts w:ascii="Consolas" w:cs="Consolas" w:eastAsia="Consolas" w:hAnsi="Consolas"/>
          <w:color w:val="2C3E50"/>
          <w:sz w:val="16"/>
          <w:szCs w:val="16"/>
        </w:rPr>
        <w:t xml:space="preserve">                     +----------------+         +-------------+             +----------------+</w:t>
      </w:r>
    </w:p>
    <w:p>
      <w:pPr>
        <w:spacing w:after="14"/>
        <w:ind w:left="360"/>
      </w:pPr>
      <w:r>
        <w:rPr>
          <w:rFonts w:ascii="Consolas" w:cs="Consolas" w:eastAsia="Consolas" w:hAnsi="Consolas"/>
          <w:color w:val="2C3E50"/>
          <w:sz w:val="16"/>
          <w:szCs w:val="16"/>
        </w:rPr>
        <w:t xml:space="preserve">                     |    Patient     |         | Medication  |             | Patient Timeline|</w:t>
      </w:r>
    </w:p>
    <w:p>
      <w:pPr>
        <w:spacing w:after="14"/>
        <w:ind w:left="360"/>
      </w:pPr>
      <w:r>
        <w:rPr>
          <w:rFonts w:ascii="Consolas" w:cs="Consolas" w:eastAsia="Consolas" w:hAnsi="Consolas"/>
          <w:color w:val="2C3E50"/>
          <w:sz w:val="16"/>
          <w:szCs w:val="16"/>
        </w:rPr>
        <w:t xml:space="preserve">                     +----------------+         +-------------+             +----------------+</w:t>
      </w:r>
    </w:p>
    <w:p>
      <w:pPr>
        <w:spacing w:after="14"/>
        <w:ind w:left="360"/>
      </w:pPr>
      <w:r>
        <w:rPr>
          <w:rFonts w:ascii="Consolas" w:cs="Consolas" w:eastAsia="Consolas" w:hAnsi="Consolas"/>
          <w:color w:val="2C3E50"/>
          <w:sz w:val="16"/>
          <w:szCs w:val="16"/>
        </w:rPr>
        <w:t xml:space="preserve">                             |                         |</w:t>
      </w:r>
    </w:p>
    <w:p>
      <w:pPr>
        <w:spacing w:after="14"/>
        <w:ind w:left="360"/>
      </w:pPr>
      <w:r>
        <w:rPr>
          <w:rFonts w:ascii="Consolas" w:cs="Consolas" w:eastAsia="Consolas" w:hAnsi="Consolas"/>
          <w:color w:val="2C3E50"/>
          <w:sz w:val="16"/>
          <w:szCs w:val="16"/>
        </w:rPr>
        <w:t xml:space="preserve">                             |                         |</w:t>
      </w:r>
    </w:p>
    <w:p>
      <w:pPr>
        <w:spacing w:after="14"/>
        <w:ind w:left="360"/>
      </w:pPr>
      <w:r>
        <w:rPr>
          <w:rFonts w:ascii="Consolas" w:cs="Consolas" w:eastAsia="Consolas" w:hAnsi="Consolas"/>
          <w:color w:val="2C3E50"/>
          <w:sz w:val="16"/>
          <w:szCs w:val="16"/>
        </w:rPr>
        <w:t xml:space="preserve">                             |                         |</w:t>
      </w:r>
    </w:p>
    <w:p>
      <w:pPr>
        <w:spacing w:after="14"/>
        <w:ind w:left="360"/>
      </w:pPr>
      <w:r>
        <w:rPr>
          <w:rFonts w:ascii="Consolas" w:cs="Consolas" w:eastAsia="Consolas" w:hAnsi="Consolas"/>
          <w:color w:val="2C3E50"/>
          <w:sz w:val="16"/>
          <w:szCs w:val="16"/>
        </w:rPr>
        <w:t xml:space="preserve">                             |                 +----------------+</w:t>
      </w:r>
    </w:p>
    <w:p>
      <w:pPr>
        <w:spacing w:after="14"/>
        <w:ind w:left="360"/>
      </w:pPr>
      <w:r>
        <w:rPr>
          <w:rFonts w:ascii="Consolas" w:cs="Consolas" w:eastAsia="Consolas" w:hAnsi="Consolas"/>
          <w:color w:val="2C3E50"/>
          <w:sz w:val="16"/>
          <w:szCs w:val="16"/>
        </w:rPr>
        <w:t xml:space="preserve">                             |                 | Patient Handoff|</w:t>
      </w:r>
    </w:p>
    <w:p>
      <w:pPr>
        <w:spacing w:after="14"/>
        <w:ind w:left="360"/>
      </w:pPr>
      <w:r>
        <w:rPr>
          <w:rFonts w:ascii="Consolas" w:cs="Consolas" w:eastAsia="Consolas" w:hAnsi="Consolas"/>
          <w:color w:val="2C3E50"/>
          <w:sz w:val="16"/>
          <w:szCs w:val="16"/>
        </w:rPr>
        <w:t xml:space="preserve">                             |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   Care Plan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 Care Milestone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 Clinical Task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               |             |             |</w:t>
      </w:r>
    </w:p>
    <w:p>
      <w:pPr>
        <w:spacing w:after="14"/>
        <w:ind w:left="360"/>
      </w:pPr>
      <w:r>
        <w:rPr>
          <w:rFonts w:ascii="Consolas" w:cs="Consolas" w:eastAsia="Consolas" w:hAnsi="Consolas"/>
          <w:color w:val="2C3E50"/>
          <w:sz w:val="16"/>
          <w:szCs w:val="16"/>
        </w:rPr>
        <w:t xml:space="preserve">               |             |             |</w:t>
      </w:r>
    </w:p>
    <w:p>
      <w:pPr>
        <w:spacing w:after="14"/>
        <w:ind w:left="360"/>
      </w:pPr>
      <w:r>
        <w:rPr>
          <w:rFonts w:ascii="Consolas" w:cs="Consolas" w:eastAsia="Consolas" w:hAnsi="Consolas"/>
          <w:color w:val="2C3E50"/>
          <w:sz w:val="16"/>
          <w:szCs w:val="16"/>
        </w:rPr>
        <w:t xml:space="preserve">          Laboratory    Radiology     Pharmacy</w:t>
      </w:r>
    </w:p>
    <w:p>
      <w:pPr>
        <w:spacing w:after="120"/>
      </w:pPr>
    </w:p>
    <w:p>
      <w:pPr>
        <w:pStyle w:val="Heading1"/>
        <w:spacing w:after="200" w:before="360"/>
      </w:pPr>
      <w:r>
        <w:rPr>
          <w:rFonts w:ascii="Arial" w:cs="Arial" w:eastAsia="Arial" w:hAnsi="Arial"/>
          <w:b/>
          <w:bCs/>
          <w:color w:val="1B4F72"/>
          <w:sz w:val="28"/>
          <w:szCs w:val="28"/>
        </w:rPr>
        <w:t xml:space="preserve">5. Physical Table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Parent Table</w:t>
            </w:r>
          </w:p>
        </w:tc>
        <w:tc>
          <w:tcPr>
            <w:tcW w:type="dxa" w:w="3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Child Table</w:t>
            </w:r>
          </w:p>
        </w:tc>
        <w:tc>
          <w:tcPr>
            <w:tcW w:type="dxa" w:w="33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Patient</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Many</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 Plan</w:t>
            </w:r>
          </w:p>
        </w:tc>
        <w:tc>
          <w:tcPr>
            <w:tcW w:type="dxa" w:w="3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1 (Active)</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Care Plan</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 Milestone</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Many</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Care Milestone</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Clinical Task</w:t>
            </w:r>
          </w:p>
        </w:tc>
        <w:tc>
          <w:tcPr>
            <w:tcW w:type="dxa" w:w="3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Many</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Medication</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Many</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 Handoff</w:t>
            </w:r>
          </w:p>
        </w:tc>
        <w:tc>
          <w:tcPr>
            <w:tcW w:type="dxa" w:w="3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Many</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 Timeline</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Many</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Department</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Ward</w:t>
            </w:r>
          </w:p>
        </w:tc>
        <w:tc>
          <w:tcPr>
            <w:tcW w:type="dxa" w:w="3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Many</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Ward</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Bed</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Many</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Bed</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w:t>
            </w:r>
          </w:p>
        </w:tc>
        <w:tc>
          <w:tcPr>
            <w:tcW w:type="dxa" w:w="3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Many (historical)</w:t>
            </w:r>
          </w:p>
        </w:tc>
      </w:tr>
    </w:tbl>
    <w:p>
      <w:pPr>
        <w:pStyle w:val="Heading1"/>
        <w:spacing w:after="200" w:before="360"/>
      </w:pPr>
      <w:r>
        <w:rPr>
          <w:rFonts w:ascii="Arial" w:cs="Arial" w:eastAsia="Arial" w:hAnsi="Arial"/>
          <w:b/>
          <w:bCs/>
          <w:color w:val="1B4F72"/>
          <w:sz w:val="28"/>
          <w:szCs w:val="28"/>
        </w:rPr>
        <w:t xml:space="preserve">6. Cardinality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 A</w:t>
            </w:r>
          </w:p>
        </w:tc>
        <w:tc>
          <w:tcPr>
            <w:tcW w:type="dxa" w:w="3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 B</w:t>
            </w:r>
          </w:p>
        </w:tc>
        <w:tc>
          <w:tcPr>
            <w:tcW w:type="dxa" w:w="33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Cardinality</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Hospital</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Department</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N</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Department</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Ward</w:t>
            </w:r>
          </w:p>
        </w:tc>
        <w:tc>
          <w:tcPr>
            <w:tcW w:type="dxa" w:w="3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N</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Ward</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Bed</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N</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Patient</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w:t>
            </w:r>
          </w:p>
        </w:tc>
        <w:tc>
          <w:tcPr>
            <w:tcW w:type="dxa" w:w="3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N</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 Plan</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1 (current)</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Care Plan</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 Milestone</w:t>
            </w:r>
          </w:p>
        </w:tc>
        <w:tc>
          <w:tcPr>
            <w:tcW w:type="dxa" w:w="3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N</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Care Milestone</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Clinical Task</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N</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Medication</w:t>
            </w:r>
          </w:p>
        </w:tc>
        <w:tc>
          <w:tcPr>
            <w:tcW w:type="dxa" w:w="3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N</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Handoff</w:t>
            </w:r>
          </w:p>
        </w:tc>
        <w:tc>
          <w:tcPr>
            <w:tcW w:type="dxa" w:w="3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N</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Timeline</w:t>
            </w:r>
          </w:p>
        </w:tc>
        <w:tc>
          <w:tcPr>
            <w:tcW w:type="dxa" w:w="3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1 : N</w:t>
            </w:r>
          </w:p>
        </w:tc>
      </w:tr>
    </w:tbl>
    <w:p>
      <w:pPr>
        <w:pStyle w:val="Heading1"/>
        <w:spacing w:after="200" w:before="360"/>
      </w:pPr>
      <w:r>
        <w:rPr>
          <w:rFonts w:ascii="Arial" w:cs="Arial" w:eastAsia="Arial" w:hAnsi="Arial"/>
          <w:b/>
          <w:bCs/>
          <w:color w:val="1B4F72"/>
          <w:sz w:val="28"/>
          <w:szCs w:val="28"/>
        </w:rPr>
        <w:t xml:space="preserve">7. Primary Key and Foreign Key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32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Key</w:t>
            </w:r>
          </w:p>
        </w:tc>
        <w:tc>
          <w:tcPr>
            <w:tcW w:type="dxa" w:w="3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Foreign Keys</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Patient</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patient_number / sys_id</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w:t>
            </w:r>
          </w:p>
        </w:tc>
      </w:tr>
      <w:tr>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admission_number / sys_id</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 ward, bed, doctor, nurse</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Department</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department_code / sys_id</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hospital (future)</w:t>
            </w:r>
          </w:p>
        </w:tc>
      </w:tr>
      <w:tr>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Ward</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ward_code / sys_id</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department</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Bed</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bed_number / sys_id</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ward</w:t>
            </w:r>
          </w:p>
        </w:tc>
      </w:tr>
      <w:tr>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Care Plan</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care_plan_number / sys_id</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 primary_doctor</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Care Milestone</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sys_id</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care_plan, department</w:t>
            </w:r>
          </w:p>
        </w:tc>
      </w:tr>
      <w:tr>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Clinical Task</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task_number / sys_id</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milestone, patient, assigned_to, department</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Medication</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sys_id</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w:t>
            </w:r>
          </w:p>
        </w:tc>
      </w:tr>
      <w:tr>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Patient Handoff</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sys_id</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 from_user, to_user</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Patient Timeline</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sys_id</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w:t>
            </w:r>
          </w:p>
        </w:tc>
      </w:tr>
      <w:tr>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Notification Log</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sys_id</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related_record</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Integration Log</w:t>
            </w:r>
          </w:p>
        </w:tc>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sys_id</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w:t>
            </w:r>
          </w:p>
        </w:tc>
      </w:tr>
      <w:tr>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AI Insight</w:t>
            </w:r>
          </w:p>
        </w:tc>
        <w:tc>
          <w:tcPr>
            <w:tcW w:type="dxa" w:w="32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sys_id</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w:t>
            </w:r>
          </w:p>
        </w:tc>
      </w:tr>
    </w:tbl>
    <w:p>
      <w:pPr>
        <w:spacing w:after="120" w:before="100"/>
      </w:pPr>
      <w:r>
        <w:rPr>
          <w:rFonts w:ascii="Arial" w:cs="Arial" w:eastAsia="Arial" w:hAnsi="Arial"/>
          <w:i/>
          <w:iCs/>
          <w:color w:val="555555"/>
          <w:sz w:val="18"/>
          <w:szCs w:val="18"/>
        </w:rPr>
        <w:t xml:space="preserve">Note: In ServiceNow, sys_id is the actual primary key. Auto-number fields (e.g., patient_number) are business identifiers.</w:t>
      </w:r>
    </w:p>
    <w:p>
      <w:pPr>
        <w:pStyle w:val="Heading1"/>
        <w:spacing w:after="200" w:before="360"/>
      </w:pPr>
      <w:r>
        <w:rPr>
          <w:rFonts w:ascii="Arial" w:cs="Arial" w:eastAsia="Arial" w:hAnsi="Arial"/>
          <w:b/>
          <w:bCs/>
          <w:color w:val="1B4F72"/>
          <w:sz w:val="28"/>
          <w:szCs w:val="28"/>
        </w:rPr>
        <w:t xml:space="preserve">8. Relationship Constraints</w:t>
      </w:r>
    </w:p>
    <w:p>
      <w:pPr>
        <w:pStyle w:val="Heading2"/>
        <w:spacing w:after="140" w:before="280"/>
      </w:pPr>
      <w:r>
        <w:rPr>
          <w:rFonts w:ascii="Arial" w:cs="Arial" w:eastAsia="Arial" w:hAnsi="Arial"/>
          <w:b/>
          <w:bCs/>
          <w:color w:val="2874A6"/>
          <w:sz w:val="24"/>
          <w:szCs w:val="24"/>
        </w:rPr>
        <w:t xml:space="preserve">Patient → Admission</w:t>
      </w:r>
    </w:p>
    <w:p>
      <w:pPr>
        <w:pStyle w:val="ListParagraph"/>
        <w:numPr>
          <w:ilvl w:val="0"/>
          <w:numId w:val="4"/>
        </w:numPr>
        <w:spacing w:after="50"/>
      </w:pPr>
      <w:r>
        <w:rPr>
          <w:rFonts w:ascii="Arial" w:cs="Arial" w:eastAsia="Arial" w:hAnsi="Arial"/>
          <w:sz w:val="20"/>
          <w:szCs w:val="20"/>
        </w:rPr>
        <w:t xml:space="preserve">One patient may have multiple admissions.</w:t>
      </w:r>
    </w:p>
    <w:p>
      <w:pPr>
        <w:pStyle w:val="ListParagraph"/>
        <w:numPr>
          <w:ilvl w:val="0"/>
          <w:numId w:val="4"/>
        </w:numPr>
        <w:spacing w:after="50"/>
      </w:pPr>
      <w:r>
        <w:rPr>
          <w:rFonts w:ascii="Arial" w:cs="Arial" w:eastAsia="Arial" w:hAnsi="Arial"/>
          <w:sz w:val="20"/>
          <w:szCs w:val="20"/>
        </w:rPr>
        <w:t xml:space="preserve">Each admission belongs to exactly one patient.</w:t>
      </w:r>
    </w:p>
    <w:p>
      <w:pPr>
        <w:pStyle w:val="Heading2"/>
        <w:spacing w:after="140" w:before="280"/>
      </w:pPr>
      <w:r>
        <w:rPr>
          <w:rFonts w:ascii="Arial" w:cs="Arial" w:eastAsia="Arial" w:hAnsi="Arial"/>
          <w:b/>
          <w:bCs/>
          <w:color w:val="2874A6"/>
          <w:sz w:val="24"/>
          <w:szCs w:val="24"/>
        </w:rPr>
        <w:t xml:space="preserve">Admission → Care Plan</w:t>
      </w:r>
    </w:p>
    <w:p>
      <w:pPr>
        <w:pStyle w:val="ListParagraph"/>
        <w:numPr>
          <w:ilvl w:val="0"/>
          <w:numId w:val="5"/>
        </w:numPr>
        <w:spacing w:after="50"/>
      </w:pPr>
      <w:r>
        <w:rPr>
          <w:rFonts w:ascii="Arial" w:cs="Arial" w:eastAsia="Arial" w:hAnsi="Arial"/>
          <w:sz w:val="20"/>
          <w:szCs w:val="20"/>
        </w:rPr>
        <w:t xml:space="preserve">One active care plan per admission.</w:t>
      </w:r>
    </w:p>
    <w:p>
      <w:pPr>
        <w:pStyle w:val="ListParagraph"/>
        <w:numPr>
          <w:ilvl w:val="0"/>
          <w:numId w:val="5"/>
        </w:numPr>
        <w:spacing w:after="50"/>
      </w:pPr>
      <w:r>
        <w:rPr>
          <w:rFonts w:ascii="Arial" w:cs="Arial" w:eastAsia="Arial" w:hAnsi="Arial"/>
          <w:sz w:val="20"/>
          <w:szCs w:val="20"/>
        </w:rPr>
        <w:t xml:space="preserve">Historical care plans retained if required.</w:t>
      </w:r>
    </w:p>
    <w:p>
      <w:pPr>
        <w:pStyle w:val="Heading2"/>
        <w:spacing w:after="140" w:before="280"/>
      </w:pPr>
      <w:r>
        <w:rPr>
          <w:rFonts w:ascii="Arial" w:cs="Arial" w:eastAsia="Arial" w:hAnsi="Arial"/>
          <w:b/>
          <w:bCs/>
          <w:color w:val="2874A6"/>
          <w:sz w:val="24"/>
          <w:szCs w:val="24"/>
        </w:rPr>
        <w:t xml:space="preserve">Care Plan → Care Milestone</w:t>
      </w:r>
    </w:p>
    <w:p>
      <w:pPr>
        <w:pStyle w:val="ListParagraph"/>
        <w:numPr>
          <w:ilvl w:val="0"/>
          <w:numId w:val="6"/>
        </w:numPr>
        <w:spacing w:after="50"/>
      </w:pPr>
      <w:r>
        <w:rPr>
          <w:rFonts w:ascii="Arial" w:cs="Arial" w:eastAsia="Arial" w:hAnsi="Arial"/>
          <w:sz w:val="20"/>
          <w:szCs w:val="20"/>
        </w:rPr>
        <w:t xml:space="preserve">Multiple milestones define the patient's treatment path.</w:t>
      </w:r>
    </w:p>
    <w:p>
      <w:pPr>
        <w:pStyle w:val="Heading2"/>
        <w:spacing w:after="140" w:before="280"/>
      </w:pPr>
      <w:r>
        <w:rPr>
          <w:rFonts w:ascii="Arial" w:cs="Arial" w:eastAsia="Arial" w:hAnsi="Arial"/>
          <w:b/>
          <w:bCs/>
          <w:color w:val="2874A6"/>
          <w:sz w:val="24"/>
          <w:szCs w:val="24"/>
        </w:rPr>
        <w:t xml:space="preserve">Care Milestone → Clinical Task</w:t>
      </w:r>
    </w:p>
    <w:p>
      <w:pPr>
        <w:pStyle w:val="ListParagraph"/>
        <w:numPr>
          <w:ilvl w:val="0"/>
          <w:numId w:val="7"/>
        </w:numPr>
        <w:spacing w:after="50"/>
      </w:pPr>
      <w:r>
        <w:rPr>
          <w:rFonts w:ascii="Arial" w:cs="Arial" w:eastAsia="Arial" w:hAnsi="Arial"/>
          <w:sz w:val="20"/>
          <w:szCs w:val="20"/>
        </w:rPr>
        <w:t xml:space="preserve">Each milestone generates one or more executable tasks.</w:t>
      </w:r>
    </w:p>
    <w:p>
      <w:pPr>
        <w:pStyle w:val="Heading2"/>
        <w:spacing w:after="140" w:before="280"/>
      </w:pPr>
      <w:r>
        <w:rPr>
          <w:rFonts w:ascii="Arial" w:cs="Arial" w:eastAsia="Arial" w:hAnsi="Arial"/>
          <w:b/>
          <w:bCs/>
          <w:color w:val="2874A6"/>
          <w:sz w:val="24"/>
          <w:szCs w:val="24"/>
        </w:rPr>
        <w:t xml:space="preserve">Ward → Bed</w:t>
      </w:r>
    </w:p>
    <w:p>
      <w:pPr>
        <w:pStyle w:val="ListParagraph"/>
        <w:numPr>
          <w:ilvl w:val="0"/>
          <w:numId w:val="8"/>
        </w:numPr>
        <w:spacing w:after="50"/>
      </w:pPr>
      <w:r>
        <w:rPr>
          <w:rFonts w:ascii="Arial" w:cs="Arial" w:eastAsia="Arial" w:hAnsi="Arial"/>
          <w:sz w:val="20"/>
          <w:szCs w:val="20"/>
        </w:rPr>
        <w:t xml:space="preserve">Each bed belongs to one ward.</w:t>
      </w:r>
    </w:p>
    <w:p>
      <w:pPr>
        <w:pStyle w:val="ListParagraph"/>
        <w:numPr>
          <w:ilvl w:val="0"/>
          <w:numId w:val="8"/>
        </w:numPr>
        <w:spacing w:after="50"/>
      </w:pPr>
      <w:r>
        <w:rPr>
          <w:rFonts w:ascii="Arial" w:cs="Arial" w:eastAsia="Arial" w:hAnsi="Arial"/>
          <w:sz w:val="20"/>
          <w:szCs w:val="20"/>
        </w:rPr>
        <w:t xml:space="preserve">A ward contains multiple beds.</w:t>
      </w:r>
    </w:p>
    <w:p>
      <w:pPr>
        <w:pStyle w:val="Heading2"/>
        <w:spacing w:after="140" w:before="280"/>
      </w:pPr>
      <w:r>
        <w:rPr>
          <w:rFonts w:ascii="Arial" w:cs="Arial" w:eastAsia="Arial" w:hAnsi="Arial"/>
          <w:b/>
          <w:bCs/>
          <w:color w:val="2874A6"/>
          <w:sz w:val="24"/>
          <w:szCs w:val="24"/>
        </w:rPr>
        <w:t xml:space="preserve">Bed → Admission</w:t>
      </w:r>
    </w:p>
    <w:p>
      <w:pPr>
        <w:pStyle w:val="ListParagraph"/>
        <w:numPr>
          <w:ilvl w:val="0"/>
          <w:numId w:val="9"/>
        </w:numPr>
        <w:spacing w:after="50"/>
      </w:pPr>
      <w:r>
        <w:rPr>
          <w:rFonts w:ascii="Arial" w:cs="Arial" w:eastAsia="Arial" w:hAnsi="Arial"/>
          <w:sz w:val="20"/>
          <w:szCs w:val="20"/>
        </w:rPr>
        <w:t xml:space="preserve">A bed can be associated with many admissions over time but only one active admission at any given moment.</w:t>
      </w:r>
    </w:p>
    <w:p>
      <w:pPr>
        <w:pStyle w:val="Heading1"/>
        <w:spacing w:after="200" w:before="360"/>
      </w:pPr>
      <w:r>
        <w:rPr>
          <w:rFonts w:ascii="Arial" w:cs="Arial" w:eastAsia="Arial" w:hAnsi="Arial"/>
          <w:b/>
          <w:bCs/>
          <w:color w:val="1B4F72"/>
          <w:sz w:val="28"/>
          <w:szCs w:val="28"/>
        </w:rPr>
        <w:t xml:space="preserve">9. ServiceNow Reference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28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Reference Field</w:t>
            </w:r>
          </w:p>
        </w:tc>
        <w:tc>
          <w:tcPr>
            <w:tcW w:type="dxa" w:w="37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References</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ward</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Ward</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bed</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Bed</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doctor</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sys_user</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nurse</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sys_user</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Care Plan</w:t>
            </w:r>
          </w:p>
        </w:tc>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Care Milestone</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care_plan</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 Plan</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Care Milestone</w:t>
            </w:r>
          </w:p>
        </w:tc>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department</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Department</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Clinical Task</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milestone</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Care Milestone</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Clinical Task</w:t>
            </w:r>
          </w:p>
        </w:tc>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Clinical Task</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assigned_to</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sys_user</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Medication</w:t>
            </w:r>
          </w:p>
        </w:tc>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Handoff</w:t>
            </w:r>
          </w:p>
        </w:tc>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w:t>
            </w:r>
          </w:p>
        </w:tc>
        <w:tc>
          <w:tcPr>
            <w:tcW w:type="dxa" w:w="37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Timeline</w:t>
            </w:r>
          </w:p>
        </w:tc>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w:t>
            </w:r>
          </w:p>
        </w:tc>
        <w:tc>
          <w:tcPr>
            <w:tcW w:type="dxa" w:w="37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w:t>
            </w:r>
          </w:p>
        </w:tc>
      </w:tr>
    </w:tbl>
    <w:p>
      <w:pPr>
        <w:pStyle w:val="Heading1"/>
        <w:spacing w:after="200" w:before="360"/>
      </w:pPr>
      <w:r>
        <w:rPr>
          <w:rFonts w:ascii="Arial" w:cs="Arial" w:eastAsia="Arial" w:hAnsi="Arial"/>
          <w:b/>
          <w:bCs/>
          <w:color w:val="1B4F72"/>
          <w:sz w:val="28"/>
          <w:szCs w:val="28"/>
        </w:rPr>
        <w:t xml:space="preserve">10. State-Based Relationships</w:t>
      </w:r>
    </w:p>
    <w:p>
      <w:pPr>
        <w:pStyle w:val="Heading2"/>
        <w:spacing w:after="140" w:before="280"/>
      </w:pPr>
      <w:r>
        <w:rPr>
          <w:rFonts w:ascii="Arial" w:cs="Arial" w:eastAsia="Arial" w:hAnsi="Arial"/>
          <w:b/>
          <w:bCs/>
          <w:color w:val="2874A6"/>
          <w:sz w:val="24"/>
          <w:szCs w:val="24"/>
        </w:rPr>
        <w:t xml:space="preserve">Patient Lifecycle</w:t>
      </w:r>
    </w:p>
    <w:p>
      <w:pPr>
        <w:spacing w:after="14"/>
        <w:ind w:left="360"/>
      </w:pPr>
      <w:r>
        <w:rPr>
          <w:rFonts w:ascii="Consolas" w:cs="Consolas" w:eastAsia="Consolas" w:hAnsi="Consolas"/>
          <w:color w:val="2C3E50"/>
          <w:sz w:val="16"/>
          <w:szCs w:val="16"/>
        </w:rPr>
        <w:t xml:space="preserve">Registered</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Admitted</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Under Treatment</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Discharged</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Closed</w:t>
      </w:r>
    </w:p>
    <w:p>
      <w:pPr>
        <w:spacing w:after="80"/>
      </w:pPr>
    </w:p>
    <w:p>
      <w:pPr>
        <w:pStyle w:val="Heading2"/>
        <w:spacing w:after="140" w:before="280"/>
      </w:pPr>
      <w:r>
        <w:rPr>
          <w:rFonts w:ascii="Arial" w:cs="Arial" w:eastAsia="Arial" w:hAnsi="Arial"/>
          <w:b/>
          <w:bCs/>
          <w:color w:val="2874A6"/>
          <w:sz w:val="24"/>
          <w:szCs w:val="24"/>
        </w:rPr>
        <w:t xml:space="preserve">Admission Lifecycle</w:t>
      </w:r>
    </w:p>
    <w:p>
      <w:pPr>
        <w:spacing w:after="14"/>
        <w:ind w:left="360"/>
      </w:pPr>
      <w:r>
        <w:rPr>
          <w:rFonts w:ascii="Consolas" w:cs="Consolas" w:eastAsia="Consolas" w:hAnsi="Consolas"/>
          <w:color w:val="2C3E50"/>
          <w:sz w:val="16"/>
          <w:szCs w:val="16"/>
        </w:rPr>
        <w:t xml:space="preserve">Pending</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Active</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Recovery</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Discharged</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Closed</w:t>
      </w:r>
    </w:p>
    <w:p>
      <w:pPr>
        <w:spacing w:after="80"/>
      </w:pPr>
    </w:p>
    <w:p>
      <w:pPr>
        <w:pStyle w:val="Heading2"/>
        <w:spacing w:after="140" w:before="280"/>
      </w:pPr>
      <w:r>
        <w:rPr>
          <w:rFonts w:ascii="Arial" w:cs="Arial" w:eastAsia="Arial" w:hAnsi="Arial"/>
          <w:b/>
          <w:bCs/>
          <w:color w:val="2874A6"/>
          <w:sz w:val="24"/>
          <w:szCs w:val="24"/>
        </w:rPr>
        <w:t xml:space="preserve">Clinical Task Lifecycle</w:t>
      </w:r>
    </w:p>
    <w:p>
      <w:pPr>
        <w:spacing w:after="14"/>
        <w:ind w:left="360"/>
      </w:pPr>
      <w:r>
        <w:rPr>
          <w:rFonts w:ascii="Consolas" w:cs="Consolas" w:eastAsia="Consolas" w:hAnsi="Consolas"/>
          <w:color w:val="2C3E50"/>
          <w:sz w:val="16"/>
          <w:szCs w:val="16"/>
        </w:rPr>
        <w:t xml:space="preserve">New</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Assigned</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In Progress</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Waiting</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Completed</w:t>
      </w:r>
    </w:p>
    <w:p>
      <w:pPr>
        <w:spacing w:after="14"/>
        <w:ind w:left="360"/>
      </w:pPr>
      <w:r>
        <w:rPr>
          <w:rFonts w:ascii="Consolas" w:cs="Consolas" w:eastAsia="Consolas" w:hAnsi="Consolas"/>
          <w:color w:val="2C3E50"/>
          <w:sz w:val="16"/>
          <w:szCs w:val="16"/>
        </w:rPr>
        <w:t xml:space="preserve"> │</w:t>
      </w:r>
    </w:p>
    <w:p>
      <w:pPr>
        <w:spacing w:after="14"/>
        <w:ind w:left="360"/>
      </w:pPr>
      <w:r>
        <w:rPr>
          <w:rFonts w:ascii="Consolas" w:cs="Consolas" w:eastAsia="Consolas" w:hAnsi="Consolas"/>
          <w:color w:val="2C3E50"/>
          <w:sz w:val="16"/>
          <w:szCs w:val="16"/>
        </w:rPr>
        <w:t xml:space="preserve">Cancelled</w:t>
      </w:r>
    </w:p>
    <w:p>
      <w:pPr>
        <w:spacing w:after="120"/>
      </w:pPr>
    </w:p>
    <w:p>
      <w:pPr>
        <w:pStyle w:val="Heading1"/>
        <w:spacing w:after="200" w:before="360"/>
      </w:pPr>
      <w:r>
        <w:rPr>
          <w:rFonts w:ascii="Arial" w:cs="Arial" w:eastAsia="Arial" w:hAnsi="Arial"/>
          <w:b/>
          <w:bCs/>
          <w:color w:val="1B4F72"/>
          <w:sz w:val="28"/>
          <w:szCs w:val="28"/>
        </w:rPr>
        <w:t xml:space="preserve">11. Data Integrity Rules</w:t>
      </w:r>
    </w:p>
    <w:p>
      <w:pPr>
        <w:pStyle w:val="ListParagraph"/>
        <w:numPr>
          <w:ilvl w:val="0"/>
          <w:numId w:val="10"/>
        </w:numPr>
        <w:spacing w:after="50"/>
      </w:pPr>
      <w:r>
        <w:rPr>
          <w:rFonts w:ascii="Arial" w:cs="Arial" w:eastAsia="Arial" w:hAnsi="Arial"/>
          <w:sz w:val="20"/>
          <w:szCs w:val="20"/>
        </w:rPr>
        <w:t xml:space="preserve">A Patient must exist before an Admission can be created.</w:t>
      </w:r>
    </w:p>
    <w:p>
      <w:pPr>
        <w:pStyle w:val="ListParagraph"/>
        <w:numPr>
          <w:ilvl w:val="0"/>
          <w:numId w:val="10"/>
        </w:numPr>
        <w:spacing w:after="50"/>
      </w:pPr>
      <w:r>
        <w:rPr>
          <w:rFonts w:ascii="Arial" w:cs="Arial" w:eastAsia="Arial" w:hAnsi="Arial"/>
          <w:sz w:val="20"/>
          <w:szCs w:val="20"/>
        </w:rPr>
        <w:t xml:space="preserve">An Admission must exist before a Care Plan can be created.</w:t>
      </w:r>
    </w:p>
    <w:p>
      <w:pPr>
        <w:pStyle w:val="ListParagraph"/>
        <w:numPr>
          <w:ilvl w:val="0"/>
          <w:numId w:val="10"/>
        </w:numPr>
        <w:spacing w:after="50"/>
      </w:pPr>
      <w:r>
        <w:rPr>
          <w:rFonts w:ascii="Arial" w:cs="Arial" w:eastAsia="Arial" w:hAnsi="Arial"/>
          <w:sz w:val="20"/>
          <w:szCs w:val="20"/>
        </w:rPr>
        <w:t xml:space="preserve">A Care Plan must exist before Milestones can be added.</w:t>
      </w:r>
    </w:p>
    <w:p>
      <w:pPr>
        <w:pStyle w:val="ListParagraph"/>
        <w:numPr>
          <w:ilvl w:val="0"/>
          <w:numId w:val="10"/>
        </w:numPr>
        <w:spacing w:after="50"/>
      </w:pPr>
      <w:r>
        <w:rPr>
          <w:rFonts w:ascii="Arial" w:cs="Arial" w:eastAsia="Arial" w:hAnsi="Arial"/>
          <w:sz w:val="20"/>
          <w:szCs w:val="20"/>
        </w:rPr>
        <w:t xml:space="preserve">A Milestone must exist before Clinical Tasks are generated.</w:t>
      </w:r>
    </w:p>
    <w:p>
      <w:pPr>
        <w:pStyle w:val="ListParagraph"/>
        <w:numPr>
          <w:ilvl w:val="0"/>
          <w:numId w:val="10"/>
        </w:numPr>
        <w:spacing w:after="50"/>
      </w:pPr>
      <w:r>
        <w:rPr>
          <w:rFonts w:ascii="Arial" w:cs="Arial" w:eastAsia="Arial" w:hAnsi="Arial"/>
          <w:sz w:val="20"/>
          <w:szCs w:val="20"/>
        </w:rPr>
        <w:t xml:space="preserve">A Bed cannot be assigned if its status is Occupied or Maintenance.</w:t>
      </w:r>
    </w:p>
    <w:p>
      <w:pPr>
        <w:pStyle w:val="ListParagraph"/>
        <w:numPr>
          <w:ilvl w:val="0"/>
          <w:numId w:val="10"/>
        </w:numPr>
        <w:spacing w:after="50"/>
      </w:pPr>
      <w:r>
        <w:rPr>
          <w:rFonts w:ascii="Arial" w:cs="Arial" w:eastAsia="Arial" w:hAnsi="Arial"/>
          <w:sz w:val="20"/>
          <w:szCs w:val="20"/>
        </w:rPr>
        <w:t xml:space="preserve">Discharge is blocked if mandatory Clinical Tasks remain incomplete.</w:t>
      </w:r>
    </w:p>
    <w:p>
      <w:pPr>
        <w:pStyle w:val="Heading1"/>
        <w:spacing w:after="200" w:before="360"/>
      </w:pPr>
      <w:r>
        <w:rPr>
          <w:rFonts w:ascii="Arial" w:cs="Arial" w:eastAsia="Arial" w:hAnsi="Arial"/>
          <w:b/>
          <w:bCs/>
          <w:color w:val="1B4F72"/>
          <w:sz w:val="28"/>
          <w:szCs w:val="28"/>
        </w:rPr>
        <w:t xml:space="preserve">12. Normalization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Normal Form</w:t>
            </w:r>
          </w:p>
        </w:tc>
        <w:tc>
          <w:tcPr>
            <w:tcW w:type="dxa" w:w="20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9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1NF</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w:t>
            </w:r>
          </w:p>
        </w:tc>
        <w:tc>
          <w:tcPr>
            <w:tcW w:type="dxa" w:w="49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Atomic field values</w:t>
            </w:r>
          </w:p>
        </w:tc>
      </w:tr>
      <w:tr>
        <w:tc>
          <w:tcPr>
            <w:tcW w:type="dxa" w:w="24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2NF</w:t>
            </w:r>
          </w:p>
        </w:tc>
        <w:tc>
          <w:tcPr>
            <w:tcW w:type="dxa" w:w="2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w:t>
            </w:r>
          </w:p>
        </w:tc>
        <w:tc>
          <w:tcPr>
            <w:tcW w:type="dxa" w:w="49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No partial dependencies</w:t>
            </w:r>
          </w:p>
        </w:tc>
      </w:tr>
      <w:tr>
        <w:tc>
          <w:tcPr>
            <w:tcW w:type="dxa" w:w="24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3NF</w:t>
            </w:r>
          </w:p>
        </w:tc>
        <w:tc>
          <w:tcPr>
            <w:tcW w:type="dxa" w:w="2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w:t>
            </w:r>
          </w:p>
        </w:tc>
        <w:tc>
          <w:tcPr>
            <w:tcW w:type="dxa" w:w="49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No transitive dependencies</w:t>
            </w:r>
          </w:p>
        </w:tc>
      </w:tr>
    </w:tbl>
    <w:p>
      <w:pPr>
        <w:pStyle w:val="Heading1"/>
        <w:spacing w:after="200" w:before="360"/>
      </w:pPr>
      <w:r>
        <w:rPr>
          <w:rFonts w:ascii="Arial" w:cs="Arial" w:eastAsia="Arial" w:hAnsi="Arial"/>
          <w:b/>
          <w:bCs/>
          <w:color w:val="1B4F72"/>
          <w:sz w:val="28"/>
          <w:szCs w:val="28"/>
        </w:rPr>
        <w:t xml:space="preserve">13. Indexing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65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Indexed Fields</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Patient</w:t>
            </w:r>
          </w:p>
        </w:tc>
        <w:tc>
          <w:tcPr>
            <w:tcW w:type="dxa" w:w="6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patient_number, last_name, phone</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Admission</w:t>
            </w:r>
          </w:p>
        </w:tc>
        <w:tc>
          <w:tcPr>
            <w:tcW w:type="dxa" w:w="6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patient, doctor, ward, status</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Clinical Task</w:t>
            </w:r>
          </w:p>
        </w:tc>
        <w:tc>
          <w:tcPr>
            <w:tcW w:type="dxa" w:w="6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assigned_to, department, status, due_date</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Bed</w:t>
            </w:r>
          </w:p>
        </w:tc>
        <w:tc>
          <w:tcPr>
            <w:tcW w:type="dxa" w:w="6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ward, status</w:t>
            </w:r>
          </w:p>
        </w:tc>
      </w:tr>
      <w:tr>
        <w:tc>
          <w:tcPr>
            <w:tcW w:type="dxa" w:w="28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Care Plan</w:t>
            </w:r>
          </w:p>
        </w:tc>
        <w:tc>
          <w:tcPr>
            <w:tcW w:type="dxa" w:w="65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 state</w:t>
            </w:r>
          </w:p>
        </w:tc>
      </w:tr>
      <w:tr>
        <w:tc>
          <w:tcPr>
            <w:tcW w:type="dxa" w:w="28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Medication</w:t>
            </w:r>
          </w:p>
        </w:tc>
        <w:tc>
          <w:tcPr>
            <w:tcW w:type="dxa" w:w="65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val="false"/>
                <w:bCs w:val="false"/>
                <w:sz w:val="18"/>
                <w:szCs w:val="18"/>
              </w:rPr>
              <w:t xml:space="preserve">admission</w:t>
            </w:r>
          </w:p>
        </w:tc>
      </w:tr>
    </w:tbl>
    <w:p>
      <w:pPr>
        <w:pStyle w:val="Heading1"/>
        <w:spacing w:after="200" w:before="360"/>
      </w:pPr>
      <w:r>
        <w:rPr>
          <w:rFonts w:ascii="Arial" w:cs="Arial" w:eastAsia="Arial" w:hAnsi="Arial"/>
          <w:b/>
          <w:bCs/>
          <w:color w:val="1B4F72"/>
          <w:sz w:val="28"/>
          <w:szCs w:val="28"/>
        </w:rPr>
        <w:t xml:space="preserve">14. Future Extensibility Model</w:t>
      </w:r>
    </w:p>
    <w:p>
      <w:pPr>
        <w:spacing w:after="120"/>
      </w:pPr>
      <w:r>
        <w:rPr>
          <w:rFonts w:ascii="Arial" w:cs="Arial" w:eastAsia="Arial" w:hAnsi="Arial"/>
          <w:sz w:val="20"/>
          <w:szCs w:val="20"/>
        </w:rPr>
        <w:t xml:space="preserve">The ERD is designed to support additional healthcare capabilities without redesigning existing tables.</w:t>
      </w:r>
    </w:p>
    <w:p>
      <w:pPr>
        <w:spacing w:after="80" w:before="160"/>
      </w:pPr>
      <w:r>
        <w:rPr>
          <w:rFonts w:ascii="Arial" w:cs="Arial" w:eastAsia="Arial" w:hAnsi="Arial"/>
          <w:b/>
          <w:bCs/>
          <w:color w:val="1A5276"/>
          <w:sz w:val="20"/>
          <w:szCs w:val="20"/>
        </w:rPr>
        <w:t xml:space="preserve">Planned Extensions</w:t>
      </w:r>
    </w:p>
    <w:p>
      <w:pPr>
        <w:pStyle w:val="ListParagraph"/>
        <w:numPr>
          <w:ilvl w:val="0"/>
          <w:numId w:val="11"/>
        </w:numPr>
        <w:spacing w:after="50"/>
      </w:pPr>
      <w:r>
        <w:rPr>
          <w:rFonts w:ascii="Arial" w:cs="Arial" w:eastAsia="Arial" w:hAnsi="Arial"/>
          <w:sz w:val="20"/>
          <w:szCs w:val="20"/>
        </w:rPr>
        <w:t xml:space="preserve">Appointment Scheduling</w:t>
      </w:r>
    </w:p>
    <w:p>
      <w:pPr>
        <w:pStyle w:val="ListParagraph"/>
        <w:numPr>
          <w:ilvl w:val="0"/>
          <w:numId w:val="11"/>
        </w:numPr>
        <w:spacing w:after="50"/>
      </w:pPr>
      <w:r>
        <w:rPr>
          <w:rFonts w:ascii="Arial" w:cs="Arial" w:eastAsia="Arial" w:hAnsi="Arial"/>
          <w:sz w:val="20"/>
          <w:szCs w:val="20"/>
        </w:rPr>
        <w:t xml:space="preserve">Outpatient Management</w:t>
      </w:r>
    </w:p>
    <w:p>
      <w:pPr>
        <w:pStyle w:val="ListParagraph"/>
        <w:numPr>
          <w:ilvl w:val="0"/>
          <w:numId w:val="11"/>
        </w:numPr>
        <w:spacing w:after="50"/>
      </w:pPr>
      <w:r>
        <w:rPr>
          <w:rFonts w:ascii="Arial" w:cs="Arial" w:eastAsia="Arial" w:hAnsi="Arial"/>
          <w:sz w:val="20"/>
          <w:szCs w:val="20"/>
        </w:rPr>
        <w:t xml:space="preserve">Telemedicine</w:t>
      </w:r>
    </w:p>
    <w:p>
      <w:pPr>
        <w:pStyle w:val="ListParagraph"/>
        <w:numPr>
          <w:ilvl w:val="0"/>
          <w:numId w:val="11"/>
        </w:numPr>
        <w:spacing w:after="50"/>
      </w:pPr>
      <w:r>
        <w:rPr>
          <w:rFonts w:ascii="Arial" w:cs="Arial" w:eastAsia="Arial" w:hAnsi="Arial"/>
          <w:sz w:val="20"/>
          <w:szCs w:val="20"/>
        </w:rPr>
        <w:t xml:space="preserve">Insurance Claims</w:t>
      </w:r>
    </w:p>
    <w:p>
      <w:pPr>
        <w:pStyle w:val="ListParagraph"/>
        <w:numPr>
          <w:ilvl w:val="0"/>
          <w:numId w:val="11"/>
        </w:numPr>
        <w:spacing w:after="50"/>
      </w:pPr>
      <w:r>
        <w:rPr>
          <w:rFonts w:ascii="Arial" w:cs="Arial" w:eastAsia="Arial" w:hAnsi="Arial"/>
          <w:sz w:val="20"/>
          <w:szCs w:val="20"/>
        </w:rPr>
        <w:t xml:space="preserve">Surgical Procedures</w:t>
      </w:r>
    </w:p>
    <w:p>
      <w:pPr>
        <w:pStyle w:val="ListParagraph"/>
        <w:numPr>
          <w:ilvl w:val="0"/>
          <w:numId w:val="11"/>
        </w:numPr>
        <w:spacing w:after="50"/>
      </w:pPr>
      <w:r>
        <w:rPr>
          <w:rFonts w:ascii="Arial" w:cs="Arial" w:eastAsia="Arial" w:hAnsi="Arial"/>
          <w:sz w:val="20"/>
          <w:szCs w:val="20"/>
        </w:rPr>
        <w:t xml:space="preserve">Laboratory Information System (LIS)</w:t>
      </w:r>
    </w:p>
    <w:p>
      <w:pPr>
        <w:pStyle w:val="ListParagraph"/>
        <w:numPr>
          <w:ilvl w:val="0"/>
          <w:numId w:val="11"/>
        </w:numPr>
        <w:spacing w:after="50"/>
      </w:pPr>
      <w:r>
        <w:rPr>
          <w:rFonts w:ascii="Arial" w:cs="Arial" w:eastAsia="Arial" w:hAnsi="Arial"/>
          <w:sz w:val="20"/>
          <w:szCs w:val="20"/>
        </w:rPr>
        <w:t xml:space="preserve">Pharmacy Inventory</w:t>
      </w:r>
    </w:p>
    <w:p>
      <w:pPr>
        <w:pStyle w:val="ListParagraph"/>
        <w:numPr>
          <w:ilvl w:val="0"/>
          <w:numId w:val="11"/>
        </w:numPr>
        <w:spacing w:after="50"/>
      </w:pPr>
      <w:r>
        <w:rPr>
          <w:rFonts w:ascii="Arial" w:cs="Arial" w:eastAsia="Arial" w:hAnsi="Arial"/>
          <w:sz w:val="20"/>
          <w:szCs w:val="20"/>
        </w:rPr>
        <w:t xml:space="preserve">Medical Equipment (CMDB)</w:t>
      </w:r>
    </w:p>
    <w:p>
      <w:pPr>
        <w:pStyle w:val="ListParagraph"/>
        <w:numPr>
          <w:ilvl w:val="0"/>
          <w:numId w:val="11"/>
        </w:numPr>
        <w:spacing w:after="50"/>
      </w:pPr>
      <w:r>
        <w:rPr>
          <w:rFonts w:ascii="Arial" w:cs="Arial" w:eastAsia="Arial" w:hAnsi="Arial"/>
          <w:sz w:val="20"/>
          <w:szCs w:val="20"/>
        </w:rPr>
        <w:t xml:space="preserve">FHIR/HL7 Interoperability</w:t>
      </w:r>
    </w:p>
    <w:p>
      <w:pPr>
        <w:pStyle w:val="ListParagraph"/>
        <w:numPr>
          <w:ilvl w:val="0"/>
          <w:numId w:val="11"/>
        </w:numPr>
        <w:spacing w:after="50"/>
      </w:pPr>
      <w:r>
        <w:rPr>
          <w:rFonts w:ascii="Arial" w:cs="Arial" w:eastAsia="Arial" w:hAnsi="Arial"/>
          <w:sz w:val="20"/>
          <w:szCs w:val="20"/>
        </w:rPr>
        <w:t xml:space="preserve">Multi-Hospital Support using Domain Separation</w:t>
      </w:r>
    </w:p>
    <w:p>
      <w:pPr>
        <w:pStyle w:val="Heading1"/>
        <w:spacing w:after="200" w:before="360"/>
      </w:pPr>
      <w:r>
        <w:rPr>
          <w:rFonts w:ascii="Arial" w:cs="Arial" w:eastAsia="Arial" w:hAnsi="Arial"/>
          <w:b/>
          <w:bCs/>
          <w:color w:val="1B4F72"/>
          <w:sz w:val="28"/>
          <w:szCs w:val="28"/>
        </w:rPr>
        <w:t xml:space="preserve">15. ServiceNow Best Practices Applied</w:t>
      </w:r>
    </w:p>
    <w:p>
      <w:pPr>
        <w:pStyle w:val="ListParagraph"/>
        <w:numPr>
          <w:ilvl w:val="0"/>
          <w:numId w:val="12"/>
        </w:numPr>
        <w:spacing w:after="50"/>
      </w:pPr>
      <w:r>
        <w:rPr>
          <w:rFonts w:ascii="Arial" w:cs="Arial" w:eastAsia="Arial" w:hAnsi="Arial"/>
          <w:sz w:val="20"/>
          <w:szCs w:val="20"/>
        </w:rPr>
        <w:t xml:space="preserve">Scoped application tables only.</w:t>
      </w:r>
    </w:p>
    <w:p>
      <w:pPr>
        <w:pStyle w:val="ListParagraph"/>
        <w:numPr>
          <w:ilvl w:val="0"/>
          <w:numId w:val="12"/>
        </w:numPr>
        <w:spacing w:after="50"/>
      </w:pPr>
      <w:r>
        <w:rPr>
          <w:rFonts w:ascii="Arial" w:cs="Arial" w:eastAsia="Arial" w:hAnsi="Arial"/>
          <w:sz w:val="20"/>
          <w:szCs w:val="20"/>
        </w:rPr>
        <w:t xml:space="preserve">Reference fields instead of duplicated data.</w:t>
      </w:r>
    </w:p>
    <w:p>
      <w:pPr>
        <w:pStyle w:val="ListParagraph"/>
        <w:numPr>
          <w:ilvl w:val="0"/>
          <w:numId w:val="12"/>
        </w:numPr>
        <w:spacing w:after="50"/>
      </w:pPr>
      <w:r>
        <w:rPr>
          <w:rFonts w:ascii="Arial" w:cs="Arial" w:eastAsia="Arial" w:hAnsi="Arial"/>
          <w:sz w:val="20"/>
          <w:szCs w:val="20"/>
        </w:rPr>
        <w:t xml:space="preserve">Auto-number business identifiers.</w:t>
      </w:r>
    </w:p>
    <w:p>
      <w:pPr>
        <w:pStyle w:val="ListParagraph"/>
        <w:numPr>
          <w:ilvl w:val="0"/>
          <w:numId w:val="12"/>
        </w:numPr>
        <w:spacing w:after="50"/>
      </w:pPr>
      <w:r>
        <w:rPr>
          <w:rFonts w:ascii="Arial" w:cs="Arial" w:eastAsia="Arial" w:hAnsi="Arial"/>
          <w:sz w:val="20"/>
          <w:szCs w:val="20"/>
        </w:rPr>
        <w:t xml:space="preserve">sys_id used as primary key.</w:t>
      </w:r>
    </w:p>
    <w:p>
      <w:pPr>
        <w:pStyle w:val="ListParagraph"/>
        <w:numPr>
          <w:ilvl w:val="0"/>
          <w:numId w:val="12"/>
        </w:numPr>
        <w:spacing w:after="50"/>
      </w:pPr>
      <w:r>
        <w:rPr>
          <w:rFonts w:ascii="Arial" w:cs="Arial" w:eastAsia="Arial" w:hAnsi="Arial"/>
          <w:sz w:val="20"/>
          <w:szCs w:val="20"/>
        </w:rPr>
        <w:t xml:space="preserve">Audit enabled on transactional tables.</w:t>
      </w:r>
    </w:p>
    <w:p>
      <w:pPr>
        <w:pStyle w:val="ListParagraph"/>
        <w:numPr>
          <w:ilvl w:val="0"/>
          <w:numId w:val="12"/>
        </w:numPr>
        <w:spacing w:after="50"/>
      </w:pPr>
      <w:r>
        <w:rPr>
          <w:rFonts w:ascii="Arial" w:cs="Arial" w:eastAsia="Arial" w:hAnsi="Arial"/>
          <w:sz w:val="20"/>
          <w:szCs w:val="20"/>
        </w:rPr>
        <w:t xml:space="preserve">Choice fields for lifecycle states.</w:t>
      </w:r>
    </w:p>
    <w:p>
      <w:pPr>
        <w:pStyle w:val="ListParagraph"/>
        <w:numPr>
          <w:ilvl w:val="0"/>
          <w:numId w:val="12"/>
        </w:numPr>
        <w:spacing w:after="50"/>
      </w:pPr>
      <w:r>
        <w:rPr>
          <w:rFonts w:ascii="Arial" w:cs="Arial" w:eastAsia="Arial" w:hAnsi="Arial"/>
          <w:sz w:val="20"/>
          <w:szCs w:val="20"/>
        </w:rPr>
        <w:t xml:space="preserve">Upgrade-safe table extensions.</w:t>
      </w:r>
    </w:p>
    <w:p>
      <w:pPr>
        <w:pStyle w:val="ListParagraph"/>
        <w:numPr>
          <w:ilvl w:val="0"/>
          <w:numId w:val="12"/>
        </w:numPr>
        <w:spacing w:after="50"/>
      </w:pPr>
      <w:r>
        <w:rPr>
          <w:rFonts w:ascii="Arial" w:cs="Arial" w:eastAsia="Arial" w:hAnsi="Arial"/>
          <w:sz w:val="20"/>
          <w:szCs w:val="20"/>
        </w:rPr>
        <w:t xml:space="preserve">Dictionary attributes for validation.</w:t>
      </w:r>
    </w:p>
    <w:p>
      <w:pPr>
        <w:pStyle w:val="ListParagraph"/>
        <w:numPr>
          <w:ilvl w:val="0"/>
          <w:numId w:val="12"/>
        </w:numPr>
        <w:spacing w:after="50"/>
      </w:pPr>
      <w:r>
        <w:rPr>
          <w:rFonts w:ascii="Arial" w:cs="Arial" w:eastAsia="Arial" w:hAnsi="Arial"/>
          <w:sz w:val="20"/>
          <w:szCs w:val="20"/>
        </w:rPr>
        <w:t xml:space="preserve">Indexed reference fields for performance.</w:t>
      </w:r>
    </w:p>
    <w:p>
      <w:pPr>
        <w:pStyle w:val="Heading1"/>
        <w:spacing w:after="200" w:before="360"/>
      </w:pPr>
      <w:r>
        <w:rPr>
          <w:rFonts w:ascii="Arial" w:cs="Arial" w:eastAsia="Arial" w:hAnsi="Arial"/>
          <w:b/>
          <w:bCs/>
          <w:color w:val="1B4F72"/>
          <w:sz w:val="28"/>
          <w:szCs w:val="28"/>
        </w:rPr>
        <w:t xml:space="preserve">16. ERD Validation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 Item</w:t>
            </w:r>
          </w:p>
        </w:tc>
        <w:tc>
          <w:tcPr>
            <w:tcW w:type="dxa" w:w="2360"/>
            <w:tcBorders>
              <w:top w:val="single" w:color="1B4F72" w:sz="4"/>
              <w:left w:val="single" w:color="1B4F72" w:sz="4"/>
              <w:bottom w:val="single" w:color="1B4F72" w:sz="4"/>
              <w:right w:val="single" w:color="1B4F72" w:sz="4"/>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7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All entities identified</w:t>
            </w:r>
          </w:p>
        </w:tc>
        <w:tc>
          <w:tcPr>
            <w:tcW w:type="dxa" w:w="2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w:t>
            </w:r>
          </w:p>
        </w:tc>
      </w:tr>
      <w:tr>
        <w:tc>
          <w:tcPr>
            <w:tcW w:type="dxa" w:w="7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Relationships defined</w:t>
            </w:r>
          </w:p>
        </w:tc>
        <w:tc>
          <w:tcPr>
            <w:tcW w:type="dxa" w:w="2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w:t>
            </w:r>
          </w:p>
        </w:tc>
      </w:tr>
      <w:tr>
        <w:tc>
          <w:tcPr>
            <w:tcW w:type="dxa" w:w="7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Cardinality documented</w:t>
            </w:r>
          </w:p>
        </w:tc>
        <w:tc>
          <w:tcPr>
            <w:tcW w:type="dxa" w:w="2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w:t>
            </w:r>
          </w:p>
        </w:tc>
      </w:tr>
      <w:tr>
        <w:tc>
          <w:tcPr>
            <w:tcW w:type="dxa" w:w="7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Primary/Foreign keys mapped</w:t>
            </w:r>
          </w:p>
        </w:tc>
        <w:tc>
          <w:tcPr>
            <w:tcW w:type="dxa" w:w="2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w:t>
            </w:r>
          </w:p>
        </w:tc>
      </w:tr>
      <w:tr>
        <w:tc>
          <w:tcPr>
            <w:tcW w:type="dxa" w:w="7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Reference fields identified</w:t>
            </w:r>
          </w:p>
        </w:tc>
        <w:tc>
          <w:tcPr>
            <w:tcW w:type="dxa" w:w="2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w:t>
            </w:r>
          </w:p>
        </w:tc>
      </w:tr>
      <w:tr>
        <w:tc>
          <w:tcPr>
            <w:tcW w:type="dxa" w:w="7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Normalization verified</w:t>
            </w:r>
          </w:p>
        </w:tc>
        <w:tc>
          <w:tcPr>
            <w:tcW w:type="dxa" w:w="2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w:t>
            </w:r>
          </w:p>
        </w:tc>
      </w:tr>
      <w:tr>
        <w:tc>
          <w:tcPr>
            <w:tcW w:type="dxa" w:w="700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left"/>
            </w:pPr>
            <w:r>
              <w:rPr>
                <w:rFonts w:ascii="Arial" w:cs="Arial" w:eastAsia="Arial" w:hAnsi="Arial"/>
                <w:b/>
                <w:bCs/>
                <w:sz w:val="18"/>
                <w:szCs w:val="18"/>
              </w:rPr>
              <w:t xml:space="preserve">Indexing strategy documented</w:t>
            </w:r>
          </w:p>
        </w:tc>
        <w:tc>
          <w:tcPr>
            <w:tcW w:type="dxa" w:w="2360"/>
            <w:tcBorders>
              <w:top w:val="single" w:color="CCCCCC" w:sz="4"/>
              <w:left w:val="single" w:color="CCCCCC" w:sz="4"/>
              <w:bottom w:val="single" w:color="CCCCCC" w:sz="4"/>
              <w:right w:val="single" w:color="CCCCCC" w:sz="4"/>
            </w:tcBorders>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w:t>
            </w:r>
          </w:p>
        </w:tc>
      </w:tr>
      <w:tr>
        <w:tc>
          <w:tcPr>
            <w:tcW w:type="dxa" w:w="700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left"/>
            </w:pPr>
            <w:r>
              <w:rPr>
                <w:rFonts w:ascii="Arial" w:cs="Arial" w:eastAsia="Arial" w:hAnsi="Arial"/>
                <w:b/>
                <w:bCs/>
                <w:sz w:val="18"/>
                <w:szCs w:val="18"/>
              </w:rPr>
              <w:t xml:space="preserve">Extensibility considered</w:t>
            </w:r>
          </w:p>
        </w:tc>
        <w:tc>
          <w:tcPr>
            <w:tcW w:type="dxa" w:w="2360"/>
            <w:tcBorders>
              <w:top w:val="single" w:color="CCCCCC" w:sz="4"/>
              <w:left w:val="single" w:color="CCCCCC" w:sz="4"/>
              <w:bottom w:val="single" w:color="CCCCCC" w:sz="4"/>
              <w:right w:val="single" w:color="CCCCCC" w:sz="4"/>
            </w:tcBorders>
            <w:shd w:fill="F8F9F9" w:val="clear"/>
            <w:tcMar>
              <w:top w:type="dxa" w:w="60"/>
              <w:left w:type="dxa" w:w="120"/>
              <w:bottom w:type="dxa" w:w="60"/>
              <w:right w:type="dxa" w:w="120"/>
            </w:tcMar>
            <w:vAlign w:val="center"/>
          </w:tcPr>
          <w:p>
            <w:pPr>
              <w:jc w:val="center"/>
            </w:pPr>
            <w:r>
              <w:rPr>
                <w:rFonts w:ascii="Arial" w:cs="Arial" w:eastAsia="Arial" w:hAnsi="Arial"/>
                <w:b w:val="false"/>
                <w:bCs w:val="false"/>
                <w:sz w:val="18"/>
                <w:szCs w:val="18"/>
              </w:rPr>
              <w:t xml:space="preserve">✅</w:t>
            </w:r>
          </w:p>
        </w:tc>
      </w:tr>
    </w:tbl>
    <w:p>
      <w:pPr>
        <w:pStyle w:val="Heading1"/>
        <w:spacing w:after="200" w:before="360"/>
      </w:pPr>
      <w:r>
        <w:rPr>
          <w:rFonts w:ascii="Arial" w:cs="Arial" w:eastAsia="Arial" w:hAnsi="Arial"/>
          <w:b/>
          <w:bCs/>
          <w:color w:val="1B4F72"/>
          <w:sz w:val="28"/>
          <w:szCs w:val="28"/>
        </w:rPr>
        <w:t xml:space="preserve">17. Conclusion</w:t>
      </w:r>
    </w:p>
    <w:p>
      <w:pPr>
        <w:spacing w:after="120"/>
      </w:pPr>
      <w:r>
        <w:rPr>
          <w:rFonts w:ascii="Arial" w:cs="Arial" w:eastAsia="Arial" w:hAnsi="Arial"/>
          <w:sz w:val="20"/>
          <w:szCs w:val="20"/>
        </w:rPr>
        <w:t xml:space="preserve">The Entity Relationship Diagram establishes the logical backbone of CareSync 360 by defining a normalized, scalable, and ServiceNow-aligned data model. It ensures strong referential integrity, optimized performance through appropriate indexing, and flexibility for future healthcare modules. This ERD provides the definitive blueprint for implementing custom tables, reference fields, and relationships in the scoped application.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8"/>
      </w:pBdr>
      <w:spacing w:before="80"/>
    </w:pPr>
    <w:r>
      <w:rPr>
        <w:rFonts w:ascii="Arial" w:cs="Arial" w:eastAsia="Arial" w:hAnsi="Arial"/>
        <w:color w:val="666666"/>
        <w:sz w:val="16"/>
        <w:szCs w:val="16"/>
      </w:rPr>
      <w:t xml:space="preserve">Draft  |  Version 1.0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8"/>
      </w:pBdr>
      <w:spacing w:after="120"/>
    </w:pPr>
    <w:r>
      <w:rPr>
        <w:rFonts w:ascii="Arial" w:cs="Arial" w:eastAsia="Arial" w:hAnsi="Arial"/>
        <w:b/>
        <w:bCs/>
        <w:color w:val="1B4F72"/>
        <w:sz w:val="18"/>
        <w:szCs w:val="18"/>
      </w:rPr>
      <w:t xml:space="preserve">CareSync 360</w:t>
    </w:r>
    <w:r>
      <w:rPr>
        <w:rFonts w:ascii="Arial" w:cs="Arial" w:eastAsia="Arial" w:hAnsi="Arial"/>
        <w:color w:val="666666"/>
        <w:sz w:val="18"/>
        <w:szCs w:val="18"/>
      </w:rPr>
      <w:t xml:space="preserve">  |  Entity Relationship Diagram (ERD)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874A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2026-08-04T05:06:17.507Z</dcterms:created>
  <dcterms:modified xsi:type="dcterms:W3CDTF">2026-08-04T05:06:17.507Z</dcterms:modified>
</cp:coreProperties>
</file>

<file path=docProps/custom.xml><?xml version="1.0" encoding="utf-8"?>
<Properties xmlns="http://schemas.openxmlformats.org/officeDocument/2006/custom-properties" xmlns:vt="http://schemas.openxmlformats.org/officeDocument/2006/docPropsVTypes"/>
</file>