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FF81F" w14:textId="77777777" w:rsidR="0069087D" w:rsidRPr="000D786F" w:rsidRDefault="0069087D">
      <w:pPr>
        <w:spacing w:after="500"/>
        <w:rPr>
          <w:rFonts w:ascii="Times New Roman" w:hAnsi="Times New Roman" w:cs="Times New Roman"/>
        </w:rPr>
      </w:pPr>
    </w:p>
    <w:p w14:paraId="75FE9AFE" w14:textId="77777777" w:rsidR="0069087D" w:rsidRPr="000D786F" w:rsidRDefault="00000000">
      <w:pPr>
        <w:spacing w:after="200"/>
        <w:jc w:val="center"/>
        <w:rPr>
          <w:rFonts w:ascii="Times New Roman" w:hAnsi="Times New Roman" w:cs="Times New Roman"/>
          <w:sz w:val="32"/>
          <w:szCs w:val="32"/>
        </w:rPr>
      </w:pPr>
      <w:r w:rsidRPr="000D786F">
        <w:rPr>
          <w:rFonts w:ascii="Times New Roman" w:hAnsi="Times New Roman" w:cs="Times New Roman"/>
          <w:b/>
          <w:bCs/>
          <w:sz w:val="40"/>
          <w:szCs w:val="40"/>
        </w:rPr>
        <w:t>SMART WASTE COLLECTION AND ROUTE OPTIMIZATION PLATFORM</w:t>
      </w:r>
    </w:p>
    <w:p w14:paraId="438D0B64" w14:textId="77777777" w:rsidR="0069087D" w:rsidRPr="000D786F" w:rsidRDefault="00000000">
      <w:pPr>
        <w:spacing w:after="60"/>
        <w:jc w:val="center"/>
        <w:rPr>
          <w:rFonts w:ascii="Times New Roman" w:hAnsi="Times New Roman" w:cs="Times New Roman"/>
          <w:sz w:val="32"/>
          <w:szCs w:val="32"/>
        </w:rPr>
      </w:pPr>
      <w:r w:rsidRPr="000D786F">
        <w:rPr>
          <w:rFonts w:ascii="Times New Roman" w:hAnsi="Times New Roman" w:cs="Times New Roman"/>
          <w:b/>
          <w:bCs/>
          <w:sz w:val="36"/>
          <w:szCs w:val="36"/>
        </w:rPr>
        <w:t>CO5 ASSESSMENT TOOL 1</w:t>
      </w:r>
    </w:p>
    <w:p w14:paraId="14FAE4C1" w14:textId="77777777" w:rsidR="0069087D" w:rsidRPr="000D786F" w:rsidRDefault="00000000">
      <w:pPr>
        <w:spacing w:after="320"/>
        <w:jc w:val="center"/>
        <w:rPr>
          <w:rFonts w:ascii="Times New Roman" w:hAnsi="Times New Roman" w:cs="Times New Roman"/>
          <w:sz w:val="32"/>
          <w:szCs w:val="32"/>
        </w:rPr>
      </w:pPr>
      <w:r w:rsidRPr="000D786F">
        <w:rPr>
          <w:rFonts w:ascii="Times New Roman" w:hAnsi="Times New Roman" w:cs="Times New Roman"/>
          <w:i/>
          <w:iCs/>
          <w:sz w:val="36"/>
          <w:szCs w:val="36"/>
        </w:rPr>
        <w:t>Research Paper Review / Literature Survey</w:t>
      </w:r>
    </w:p>
    <w:p w14:paraId="78268964" w14:textId="77777777" w:rsidR="0069087D" w:rsidRPr="000D786F" w:rsidRDefault="00000000">
      <w:pPr>
        <w:spacing w:after="260"/>
        <w:jc w:val="center"/>
        <w:rPr>
          <w:rFonts w:ascii="Times New Roman" w:hAnsi="Times New Roman" w:cs="Times New Roman"/>
          <w:sz w:val="32"/>
          <w:szCs w:val="32"/>
        </w:rPr>
      </w:pPr>
      <w:r w:rsidRPr="000D786F">
        <w:rPr>
          <w:rFonts w:ascii="Times New Roman" w:hAnsi="Times New Roman" w:cs="Times New Roman"/>
          <w:sz w:val="32"/>
          <w:szCs w:val="32"/>
        </w:rPr>
        <w:t>Submitted in the partial fulfilment for the Course of</w:t>
      </w:r>
    </w:p>
    <w:p w14:paraId="7971B3E4" w14:textId="77777777" w:rsidR="0069087D" w:rsidRPr="000D786F" w:rsidRDefault="00000000">
      <w:pPr>
        <w:spacing w:after="260"/>
        <w:jc w:val="center"/>
        <w:rPr>
          <w:rFonts w:ascii="Times New Roman" w:hAnsi="Times New Roman" w:cs="Times New Roman"/>
          <w:sz w:val="32"/>
          <w:szCs w:val="32"/>
        </w:rPr>
      </w:pPr>
      <w:r w:rsidRPr="000D786F">
        <w:rPr>
          <w:rFonts w:ascii="Times New Roman" w:hAnsi="Times New Roman" w:cs="Times New Roman"/>
          <w:b/>
          <w:bCs/>
          <w:sz w:val="36"/>
          <w:szCs w:val="36"/>
        </w:rPr>
        <w:t>CSA1012 - SOFTWARE ENGINEERING</w:t>
      </w:r>
    </w:p>
    <w:p w14:paraId="1A0F27B1" w14:textId="77777777" w:rsidR="0069087D" w:rsidRPr="000D786F" w:rsidRDefault="00000000">
      <w:pPr>
        <w:spacing w:after="260"/>
        <w:jc w:val="center"/>
        <w:rPr>
          <w:rFonts w:ascii="Times New Roman" w:hAnsi="Times New Roman" w:cs="Times New Roman"/>
          <w:sz w:val="32"/>
          <w:szCs w:val="32"/>
        </w:rPr>
      </w:pPr>
      <w:r w:rsidRPr="000D786F">
        <w:rPr>
          <w:rFonts w:ascii="Times New Roman" w:hAnsi="Times New Roman" w:cs="Times New Roman"/>
          <w:sz w:val="32"/>
          <w:szCs w:val="32"/>
        </w:rPr>
        <w:t>to the award of the degree of</w:t>
      </w:r>
    </w:p>
    <w:p w14:paraId="52728080" w14:textId="77777777" w:rsidR="0069087D" w:rsidRPr="000D786F" w:rsidRDefault="00000000">
      <w:pPr>
        <w:spacing w:after="40"/>
        <w:jc w:val="center"/>
        <w:rPr>
          <w:rFonts w:ascii="Times New Roman" w:hAnsi="Times New Roman" w:cs="Times New Roman"/>
          <w:sz w:val="32"/>
          <w:szCs w:val="32"/>
        </w:rPr>
      </w:pPr>
      <w:r w:rsidRPr="000D786F">
        <w:rPr>
          <w:rFonts w:ascii="Times New Roman" w:hAnsi="Times New Roman" w:cs="Times New Roman"/>
          <w:b/>
          <w:bCs/>
          <w:sz w:val="36"/>
          <w:szCs w:val="36"/>
        </w:rPr>
        <w:t>BACHELOR OF TECHNOLOGY</w:t>
      </w:r>
    </w:p>
    <w:p w14:paraId="0DB8881E" w14:textId="77777777" w:rsidR="0069087D" w:rsidRPr="000D786F" w:rsidRDefault="00000000">
      <w:pPr>
        <w:spacing w:after="40"/>
        <w:jc w:val="center"/>
        <w:rPr>
          <w:rFonts w:ascii="Times New Roman" w:hAnsi="Times New Roman" w:cs="Times New Roman"/>
          <w:sz w:val="32"/>
          <w:szCs w:val="32"/>
        </w:rPr>
      </w:pPr>
      <w:r w:rsidRPr="000D786F">
        <w:rPr>
          <w:rFonts w:ascii="Times New Roman" w:hAnsi="Times New Roman" w:cs="Times New Roman"/>
          <w:sz w:val="32"/>
          <w:szCs w:val="32"/>
        </w:rPr>
        <w:t>IN</w:t>
      </w:r>
    </w:p>
    <w:p w14:paraId="7B4AA3A9" w14:textId="77777777" w:rsidR="0069087D" w:rsidRPr="000D786F" w:rsidRDefault="00000000">
      <w:pPr>
        <w:spacing w:after="320"/>
        <w:jc w:val="center"/>
        <w:rPr>
          <w:rFonts w:ascii="Times New Roman" w:hAnsi="Times New Roman" w:cs="Times New Roman"/>
          <w:sz w:val="32"/>
          <w:szCs w:val="32"/>
        </w:rPr>
      </w:pPr>
      <w:r w:rsidRPr="000D786F">
        <w:rPr>
          <w:rFonts w:ascii="Times New Roman" w:hAnsi="Times New Roman" w:cs="Times New Roman"/>
          <w:b/>
          <w:bCs/>
          <w:sz w:val="36"/>
          <w:szCs w:val="36"/>
        </w:rPr>
        <w:t>ARTIFICIAL INTELLIGENCE AND DATA SCIENCE</w:t>
      </w:r>
    </w:p>
    <w:p w14:paraId="79759682" w14:textId="77777777" w:rsidR="0069087D" w:rsidRPr="000D786F" w:rsidRDefault="00000000">
      <w:pPr>
        <w:spacing w:after="40"/>
        <w:jc w:val="center"/>
        <w:rPr>
          <w:rFonts w:ascii="Times New Roman" w:hAnsi="Times New Roman" w:cs="Times New Roman"/>
          <w:sz w:val="32"/>
          <w:szCs w:val="32"/>
        </w:rPr>
      </w:pPr>
      <w:r w:rsidRPr="000D786F">
        <w:rPr>
          <w:rFonts w:ascii="Times New Roman" w:hAnsi="Times New Roman" w:cs="Times New Roman"/>
          <w:sz w:val="32"/>
          <w:szCs w:val="32"/>
        </w:rPr>
        <w:t>Submitted by</w:t>
      </w:r>
    </w:p>
    <w:p w14:paraId="2F1BECD8" w14:textId="77777777" w:rsidR="0069087D" w:rsidRPr="000D786F" w:rsidRDefault="00000000">
      <w:pPr>
        <w:spacing w:after="320"/>
        <w:jc w:val="center"/>
        <w:rPr>
          <w:rFonts w:ascii="Times New Roman" w:hAnsi="Times New Roman" w:cs="Times New Roman"/>
          <w:sz w:val="32"/>
          <w:szCs w:val="32"/>
        </w:rPr>
      </w:pPr>
      <w:r w:rsidRPr="000D786F">
        <w:rPr>
          <w:rFonts w:ascii="Times New Roman" w:hAnsi="Times New Roman" w:cs="Times New Roman"/>
          <w:b/>
          <w:bCs/>
          <w:sz w:val="36"/>
          <w:szCs w:val="36"/>
        </w:rPr>
        <w:t>BALAJI.K (192324255)</w:t>
      </w:r>
    </w:p>
    <w:p w14:paraId="5D59D86F" w14:textId="77777777" w:rsidR="0069087D" w:rsidRPr="000D786F" w:rsidRDefault="00000000">
      <w:pPr>
        <w:spacing w:after="40"/>
        <w:jc w:val="center"/>
        <w:rPr>
          <w:rFonts w:ascii="Times New Roman" w:hAnsi="Times New Roman" w:cs="Times New Roman"/>
          <w:sz w:val="32"/>
          <w:szCs w:val="32"/>
        </w:rPr>
      </w:pPr>
      <w:r w:rsidRPr="000D786F">
        <w:rPr>
          <w:rFonts w:ascii="Times New Roman" w:hAnsi="Times New Roman" w:cs="Times New Roman"/>
          <w:sz w:val="32"/>
          <w:szCs w:val="32"/>
        </w:rPr>
        <w:t>Under the Supervision of</w:t>
      </w:r>
    </w:p>
    <w:p w14:paraId="5AD0FC7B" w14:textId="77777777" w:rsidR="0069087D" w:rsidRPr="000D786F" w:rsidRDefault="00000000">
      <w:pPr>
        <w:spacing w:after="420"/>
        <w:jc w:val="center"/>
        <w:rPr>
          <w:rFonts w:ascii="Times New Roman" w:hAnsi="Times New Roman" w:cs="Times New Roman"/>
          <w:sz w:val="32"/>
          <w:szCs w:val="32"/>
        </w:rPr>
      </w:pPr>
      <w:r w:rsidRPr="000D786F">
        <w:rPr>
          <w:rFonts w:ascii="Times New Roman" w:hAnsi="Times New Roman" w:cs="Times New Roman"/>
          <w:b/>
          <w:bCs/>
          <w:sz w:val="36"/>
          <w:szCs w:val="36"/>
        </w:rPr>
        <w:t>Dr. ANITA DAVAMANI K</w:t>
      </w:r>
    </w:p>
    <w:p w14:paraId="1E72D294" w14:textId="77777777" w:rsidR="0069087D" w:rsidRPr="000D786F" w:rsidRDefault="00000000">
      <w:pPr>
        <w:spacing w:after="20"/>
        <w:jc w:val="center"/>
        <w:rPr>
          <w:rFonts w:ascii="Times New Roman" w:hAnsi="Times New Roman" w:cs="Times New Roman"/>
          <w:sz w:val="32"/>
          <w:szCs w:val="32"/>
        </w:rPr>
      </w:pPr>
      <w:r w:rsidRPr="000D786F">
        <w:rPr>
          <w:rFonts w:ascii="Times New Roman" w:hAnsi="Times New Roman" w:cs="Times New Roman"/>
          <w:b/>
          <w:bCs/>
          <w:sz w:val="36"/>
          <w:szCs w:val="36"/>
        </w:rPr>
        <w:t>SIMATS ENGINEERING</w:t>
      </w:r>
    </w:p>
    <w:p w14:paraId="36052DB7" w14:textId="77777777" w:rsidR="0069087D" w:rsidRPr="000D786F" w:rsidRDefault="00000000">
      <w:pPr>
        <w:spacing w:after="20"/>
        <w:jc w:val="center"/>
        <w:rPr>
          <w:rFonts w:ascii="Times New Roman" w:hAnsi="Times New Roman" w:cs="Times New Roman"/>
          <w:sz w:val="32"/>
          <w:szCs w:val="32"/>
        </w:rPr>
      </w:pPr>
      <w:r w:rsidRPr="000D786F">
        <w:rPr>
          <w:rFonts w:ascii="Times New Roman" w:hAnsi="Times New Roman" w:cs="Times New Roman"/>
          <w:sz w:val="32"/>
          <w:szCs w:val="32"/>
        </w:rPr>
        <w:t>Saveetha Institute of Medical and Technical Sciences</w:t>
      </w:r>
    </w:p>
    <w:p w14:paraId="7FB796ED" w14:textId="77777777" w:rsidR="0069087D" w:rsidRPr="000D786F" w:rsidRDefault="00000000">
      <w:pPr>
        <w:spacing w:after="20"/>
        <w:jc w:val="center"/>
        <w:rPr>
          <w:rFonts w:ascii="Times New Roman" w:hAnsi="Times New Roman" w:cs="Times New Roman"/>
          <w:sz w:val="32"/>
          <w:szCs w:val="32"/>
        </w:rPr>
      </w:pPr>
      <w:r w:rsidRPr="000D786F">
        <w:rPr>
          <w:rFonts w:ascii="Times New Roman" w:hAnsi="Times New Roman" w:cs="Times New Roman"/>
          <w:sz w:val="32"/>
          <w:szCs w:val="32"/>
        </w:rPr>
        <w:t>Chennai - 602105</w:t>
      </w:r>
    </w:p>
    <w:p w14:paraId="4125ECF2" w14:textId="77777777" w:rsidR="0069087D" w:rsidRPr="000D786F" w:rsidRDefault="0069087D">
      <w:pPr>
        <w:rPr>
          <w:rFonts w:ascii="Times New Roman" w:hAnsi="Times New Roman" w:cs="Times New Roman"/>
        </w:rPr>
        <w:sectPr w:rsidR="0069087D" w:rsidRPr="000D786F">
          <w:pgSz w:w="12240" w:h="15840"/>
          <w:pgMar w:top="1080" w:right="1260" w:bottom="1080" w:left="1260" w:header="708" w:footer="708" w:gutter="0"/>
          <w:cols w:space="720"/>
          <w:docGrid w:linePitch="360"/>
        </w:sectPr>
      </w:pPr>
    </w:p>
    <w:p w14:paraId="66FFDAA6" w14:textId="77777777" w:rsidR="0069087D" w:rsidRPr="000D786F" w:rsidRDefault="00000000">
      <w:pPr>
        <w:pStyle w:val="Heading1"/>
        <w:pBdr>
          <w:bottom w:val="single" w:sz="6" w:space="4" w:color="1F4E79"/>
        </w:pBdr>
        <w:spacing w:before="280" w:after="140"/>
        <w:rPr>
          <w:rFonts w:ascii="Times New Roman" w:hAnsi="Times New Roman" w:cs="Times New Roman"/>
        </w:rPr>
      </w:pPr>
      <w:r w:rsidRPr="000D786F">
        <w:rPr>
          <w:rFonts w:ascii="Times New Roman" w:hAnsi="Times New Roman" w:cs="Times New Roman"/>
          <w:b/>
          <w:bCs/>
          <w:color w:val="1F4E79"/>
          <w:sz w:val="30"/>
          <w:szCs w:val="30"/>
        </w:rPr>
        <w:lastRenderedPageBreak/>
        <w:t>Table of Contents</w:t>
      </w:r>
    </w:p>
    <w:p w14:paraId="0074113D" w14:textId="77777777" w:rsidR="0069087D" w:rsidRPr="000D786F" w:rsidRDefault="00000000">
      <w:pPr>
        <w:spacing w:after="90"/>
        <w:rPr>
          <w:rFonts w:ascii="Times New Roman" w:hAnsi="Times New Roman" w:cs="Times New Roman"/>
        </w:rPr>
      </w:pPr>
      <w:r w:rsidRPr="000D786F">
        <w:rPr>
          <w:rFonts w:ascii="Times New Roman" w:hAnsi="Times New Roman" w:cs="Times New Roman"/>
          <w:sz w:val="23"/>
          <w:szCs w:val="23"/>
        </w:rPr>
        <w:t>1. Introduction</w:t>
      </w:r>
    </w:p>
    <w:p w14:paraId="7FC5F918" w14:textId="77777777" w:rsidR="0069087D" w:rsidRPr="000D786F" w:rsidRDefault="00000000">
      <w:pPr>
        <w:spacing w:after="90"/>
        <w:rPr>
          <w:rFonts w:ascii="Times New Roman" w:hAnsi="Times New Roman" w:cs="Times New Roman"/>
        </w:rPr>
      </w:pPr>
      <w:r w:rsidRPr="000D786F">
        <w:rPr>
          <w:rFonts w:ascii="Times New Roman" w:hAnsi="Times New Roman" w:cs="Times New Roman"/>
          <w:sz w:val="23"/>
          <w:szCs w:val="23"/>
        </w:rPr>
        <w:t>2. Selected Research Papers</w:t>
      </w:r>
    </w:p>
    <w:p w14:paraId="68F206CD" w14:textId="77777777" w:rsidR="0069087D" w:rsidRPr="000D786F" w:rsidRDefault="00000000">
      <w:pPr>
        <w:spacing w:after="90"/>
        <w:rPr>
          <w:rFonts w:ascii="Times New Roman" w:hAnsi="Times New Roman" w:cs="Times New Roman"/>
        </w:rPr>
      </w:pPr>
      <w:r w:rsidRPr="000D786F">
        <w:rPr>
          <w:rFonts w:ascii="Times New Roman" w:hAnsi="Times New Roman" w:cs="Times New Roman"/>
          <w:sz w:val="23"/>
          <w:szCs w:val="23"/>
        </w:rPr>
        <w:t>3. Individual Paper Reviews</w:t>
      </w:r>
    </w:p>
    <w:p w14:paraId="27FBE03C" w14:textId="77777777" w:rsidR="0069087D" w:rsidRPr="000D786F" w:rsidRDefault="00000000">
      <w:pPr>
        <w:spacing w:after="90"/>
        <w:rPr>
          <w:rFonts w:ascii="Times New Roman" w:hAnsi="Times New Roman" w:cs="Times New Roman"/>
        </w:rPr>
      </w:pPr>
      <w:r w:rsidRPr="000D786F">
        <w:rPr>
          <w:rFonts w:ascii="Times New Roman" w:hAnsi="Times New Roman" w:cs="Times New Roman"/>
          <w:sz w:val="23"/>
          <w:szCs w:val="23"/>
        </w:rPr>
        <w:t>4. Comparative Literature Survey Table</w:t>
      </w:r>
    </w:p>
    <w:p w14:paraId="04D617A5" w14:textId="77777777" w:rsidR="0069087D" w:rsidRPr="000D786F" w:rsidRDefault="00000000">
      <w:pPr>
        <w:spacing w:after="90"/>
        <w:rPr>
          <w:rFonts w:ascii="Times New Roman" w:hAnsi="Times New Roman" w:cs="Times New Roman"/>
        </w:rPr>
      </w:pPr>
      <w:r w:rsidRPr="000D786F">
        <w:rPr>
          <w:rFonts w:ascii="Times New Roman" w:hAnsi="Times New Roman" w:cs="Times New Roman"/>
          <w:sz w:val="23"/>
          <w:szCs w:val="23"/>
        </w:rPr>
        <w:t>5. Limitations and Challenges of Existing Approaches</w:t>
      </w:r>
    </w:p>
    <w:p w14:paraId="2455D11C" w14:textId="77777777" w:rsidR="0069087D" w:rsidRPr="000D786F" w:rsidRDefault="00000000">
      <w:pPr>
        <w:spacing w:after="90"/>
        <w:rPr>
          <w:rFonts w:ascii="Times New Roman" w:hAnsi="Times New Roman" w:cs="Times New Roman"/>
        </w:rPr>
      </w:pPr>
      <w:r w:rsidRPr="000D786F">
        <w:rPr>
          <w:rFonts w:ascii="Times New Roman" w:hAnsi="Times New Roman" w:cs="Times New Roman"/>
          <w:sz w:val="23"/>
          <w:szCs w:val="23"/>
        </w:rPr>
        <w:t>6. Research Gap Analysis</w:t>
      </w:r>
    </w:p>
    <w:p w14:paraId="0B43F38B" w14:textId="77777777" w:rsidR="0069087D" w:rsidRPr="000D786F" w:rsidRDefault="00000000">
      <w:pPr>
        <w:spacing w:after="90"/>
        <w:rPr>
          <w:rFonts w:ascii="Times New Roman" w:hAnsi="Times New Roman" w:cs="Times New Roman"/>
        </w:rPr>
      </w:pPr>
      <w:r w:rsidRPr="000D786F">
        <w:rPr>
          <w:rFonts w:ascii="Times New Roman" w:hAnsi="Times New Roman" w:cs="Times New Roman"/>
          <w:sz w:val="23"/>
          <w:szCs w:val="23"/>
        </w:rPr>
        <w:t>7. Future Research Directions</w:t>
      </w:r>
    </w:p>
    <w:p w14:paraId="48E2E334" w14:textId="77777777" w:rsidR="0069087D" w:rsidRPr="000D786F" w:rsidRDefault="00000000">
      <w:pPr>
        <w:spacing w:after="90"/>
        <w:rPr>
          <w:rFonts w:ascii="Times New Roman" w:hAnsi="Times New Roman" w:cs="Times New Roman"/>
        </w:rPr>
      </w:pPr>
      <w:r w:rsidRPr="000D786F">
        <w:rPr>
          <w:rFonts w:ascii="Times New Roman" w:hAnsi="Times New Roman" w:cs="Times New Roman"/>
          <w:sz w:val="23"/>
          <w:szCs w:val="23"/>
        </w:rPr>
        <w:t>8. Conclusion</w:t>
      </w:r>
    </w:p>
    <w:p w14:paraId="43331536" w14:textId="77777777" w:rsidR="0069087D" w:rsidRPr="000D786F" w:rsidRDefault="00000000">
      <w:pPr>
        <w:spacing w:after="90"/>
        <w:rPr>
          <w:rFonts w:ascii="Times New Roman" w:hAnsi="Times New Roman" w:cs="Times New Roman"/>
        </w:rPr>
      </w:pPr>
      <w:r w:rsidRPr="000D786F">
        <w:rPr>
          <w:rFonts w:ascii="Times New Roman" w:hAnsi="Times New Roman" w:cs="Times New Roman"/>
          <w:sz w:val="23"/>
          <w:szCs w:val="23"/>
        </w:rPr>
        <w:t>9. References</w:t>
      </w:r>
    </w:p>
    <w:p w14:paraId="19C191DC" w14:textId="77777777" w:rsidR="0069087D" w:rsidRPr="000D786F" w:rsidRDefault="00000000">
      <w:pPr>
        <w:pStyle w:val="Heading1"/>
        <w:pBdr>
          <w:bottom w:val="single" w:sz="6" w:space="4" w:color="1F4E79"/>
        </w:pBdr>
        <w:spacing w:before="280" w:after="140"/>
        <w:rPr>
          <w:rFonts w:ascii="Times New Roman" w:hAnsi="Times New Roman" w:cs="Times New Roman"/>
        </w:rPr>
      </w:pPr>
      <w:r w:rsidRPr="000D786F">
        <w:rPr>
          <w:rFonts w:ascii="Times New Roman" w:hAnsi="Times New Roman" w:cs="Times New Roman"/>
          <w:b/>
          <w:bCs/>
          <w:color w:val="1F4E79"/>
          <w:sz w:val="30"/>
          <w:szCs w:val="30"/>
        </w:rPr>
        <w:t>1. Introduction</w:t>
      </w:r>
    </w:p>
    <w:p w14:paraId="32056536"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This report presents a literature survey conducted for the assigned problem statement — the Smart Waste Collection and Route Optimization Platform. Municipal waste collection has traditionally relied on fixed schedules that ignore actual bin fill levels, resulting in overflowing bins, wasted fuel, and inefficient workforce use. Over the last three years, researchers have proposed a range of Internet of Things (IoT), Artificial Intelligence (AI), and optimisation-based approaches to make waste collection dynamic, data-driven, and sustainable. This survey reviews eight peer-reviewed research papers published between 2023 and 2025 that directly address IoT-enabled bin monitoring, AI/heuristic-based route optimisation, and smart-city waste management frameworks, and uses them to identify the objectives, methodologies, findings, limitations, and open research gaps that inform the design of the assigned platform.</w:t>
      </w:r>
    </w:p>
    <w:p w14:paraId="14089C9D"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Papers were selected from reputed peer-reviewed sources — including Applied Sciences (MDPI), Waste Management (Elsevier), PLOS ONE, Cities (Elsevier), Procedia Computer Science, Journal of Environmental Management (Elsevier), Waste Management Bulletin (Elsevier), and the International Journal of Advanced Computer Science and Applications (IJACSA) — and were restricted to the 2023–2025 publication window to ensure the survey reflects the current state of the art.</w:t>
      </w:r>
    </w:p>
    <w:p w14:paraId="296CFE44" w14:textId="77777777" w:rsidR="0069087D" w:rsidRPr="000D786F" w:rsidRDefault="00000000">
      <w:pPr>
        <w:pStyle w:val="Heading1"/>
        <w:pBdr>
          <w:bottom w:val="single" w:sz="6" w:space="4" w:color="1F4E79"/>
        </w:pBdr>
        <w:spacing w:before="280" w:after="140"/>
        <w:rPr>
          <w:rFonts w:ascii="Times New Roman" w:hAnsi="Times New Roman" w:cs="Times New Roman"/>
        </w:rPr>
      </w:pPr>
      <w:r w:rsidRPr="000D786F">
        <w:rPr>
          <w:rFonts w:ascii="Times New Roman" w:hAnsi="Times New Roman" w:cs="Times New Roman"/>
          <w:b/>
          <w:bCs/>
          <w:color w:val="1F4E79"/>
          <w:sz w:val="30"/>
          <w:szCs w:val="30"/>
        </w:rPr>
        <w:t>2. Selected Research Papers</w:t>
      </w:r>
    </w:p>
    <w:p w14:paraId="55633844"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Eight papers meeting the relevance and recency criteria (2023–2025, IoT/AI-based waste monitoring or route optimisation) were selected for this survey:</w:t>
      </w:r>
    </w:p>
    <w:p w14:paraId="5A726011" w14:textId="77777777" w:rsidR="0069087D" w:rsidRPr="000D786F" w:rsidRDefault="00000000">
      <w:pPr>
        <w:spacing w:after="100" w:line="280" w:lineRule="auto"/>
        <w:ind w:left="380" w:hanging="380"/>
        <w:rPr>
          <w:rFonts w:ascii="Times New Roman" w:hAnsi="Times New Roman" w:cs="Times New Roman"/>
        </w:rPr>
      </w:pPr>
      <w:r w:rsidRPr="000D786F">
        <w:rPr>
          <w:rFonts w:ascii="Times New Roman" w:hAnsi="Times New Roman" w:cs="Times New Roman"/>
          <w:b/>
          <w:bCs/>
          <w:sz w:val="21"/>
          <w:szCs w:val="21"/>
        </w:rPr>
        <w:t xml:space="preserve">[P1]  </w:t>
      </w:r>
      <w:r w:rsidRPr="000D786F">
        <w:rPr>
          <w:rFonts w:ascii="Times New Roman" w:hAnsi="Times New Roman" w:cs="Times New Roman"/>
          <w:sz w:val="21"/>
          <w:szCs w:val="21"/>
        </w:rPr>
        <w:t>Alaoui, M. L. T., Belhiah, M., &amp; Ziti, S. (2025). IoT-Enabled Waste Management in Smart Cities: A Systematic Literature Review. International Journal of Advanced Computer Science and Applications (IJACSA), 16(4).</w:t>
      </w:r>
    </w:p>
    <w:p w14:paraId="70DC646F" w14:textId="77777777" w:rsidR="0069087D" w:rsidRPr="000D786F" w:rsidRDefault="00000000">
      <w:pPr>
        <w:spacing w:after="100" w:line="280" w:lineRule="auto"/>
        <w:ind w:left="380" w:hanging="380"/>
        <w:rPr>
          <w:rFonts w:ascii="Times New Roman" w:hAnsi="Times New Roman" w:cs="Times New Roman"/>
        </w:rPr>
      </w:pPr>
      <w:r w:rsidRPr="000D786F">
        <w:rPr>
          <w:rFonts w:ascii="Times New Roman" w:hAnsi="Times New Roman" w:cs="Times New Roman"/>
          <w:b/>
          <w:bCs/>
          <w:sz w:val="21"/>
          <w:szCs w:val="21"/>
        </w:rPr>
        <w:t xml:space="preserve">[P2]  </w:t>
      </w:r>
      <w:r w:rsidRPr="000D786F">
        <w:rPr>
          <w:rFonts w:ascii="Times New Roman" w:hAnsi="Times New Roman" w:cs="Times New Roman"/>
          <w:sz w:val="21"/>
          <w:szCs w:val="21"/>
        </w:rPr>
        <w:t>Ali, A., Javed, M. A., Alharbi, A. A. K., Alotaibi, S., &amp; Alkhathami, M. (2024). Internet of Things-Assisted Vehicle Route Optimization for Municipal Solid Waste Collection. Applied Sciences, 14(1), 287.</w:t>
      </w:r>
    </w:p>
    <w:p w14:paraId="5205E49E" w14:textId="77777777" w:rsidR="0069087D" w:rsidRPr="000D786F" w:rsidRDefault="00000000">
      <w:pPr>
        <w:spacing w:after="100" w:line="280" w:lineRule="auto"/>
        <w:ind w:left="380" w:hanging="380"/>
        <w:rPr>
          <w:rFonts w:ascii="Times New Roman" w:hAnsi="Times New Roman" w:cs="Times New Roman"/>
        </w:rPr>
      </w:pPr>
      <w:r w:rsidRPr="000D786F">
        <w:rPr>
          <w:rFonts w:ascii="Times New Roman" w:hAnsi="Times New Roman" w:cs="Times New Roman"/>
          <w:b/>
          <w:bCs/>
          <w:sz w:val="21"/>
          <w:szCs w:val="21"/>
        </w:rPr>
        <w:t xml:space="preserve">[P3]  </w:t>
      </w:r>
      <w:r w:rsidRPr="000D786F">
        <w:rPr>
          <w:rFonts w:ascii="Times New Roman" w:hAnsi="Times New Roman" w:cs="Times New Roman"/>
          <w:sz w:val="21"/>
          <w:szCs w:val="21"/>
        </w:rPr>
        <w:t>Kannan, D., Khademolqorani, S., Janatyan, N., &amp; Alavi, S. (2024). Smart waste management 4.0: The transition from a systematic review to an integrated framework. Waste Management, 174, 1–14.</w:t>
      </w:r>
    </w:p>
    <w:p w14:paraId="472069A0" w14:textId="77777777" w:rsidR="0069087D" w:rsidRPr="000D786F" w:rsidRDefault="00000000">
      <w:pPr>
        <w:spacing w:after="100" w:line="280" w:lineRule="auto"/>
        <w:ind w:left="380" w:hanging="380"/>
        <w:rPr>
          <w:rFonts w:ascii="Times New Roman" w:hAnsi="Times New Roman" w:cs="Times New Roman"/>
        </w:rPr>
      </w:pPr>
      <w:r w:rsidRPr="000D786F">
        <w:rPr>
          <w:rFonts w:ascii="Times New Roman" w:hAnsi="Times New Roman" w:cs="Times New Roman"/>
          <w:b/>
          <w:bCs/>
          <w:sz w:val="21"/>
          <w:szCs w:val="21"/>
        </w:rPr>
        <w:t xml:space="preserve">[P4]  </w:t>
      </w:r>
      <w:r w:rsidRPr="000D786F">
        <w:rPr>
          <w:rFonts w:ascii="Times New Roman" w:hAnsi="Times New Roman" w:cs="Times New Roman"/>
          <w:sz w:val="21"/>
          <w:szCs w:val="21"/>
        </w:rPr>
        <w:t>Addas, A., Khan, M. N., &amp; Naseer, F. (2024). Waste management 2.0 leveraging internet of things for an efficient and eco-friendly smart city solution. PLOS ONE, 19(7), e0307608.</w:t>
      </w:r>
    </w:p>
    <w:p w14:paraId="4180EC00" w14:textId="77777777" w:rsidR="0069087D" w:rsidRPr="000D786F" w:rsidRDefault="00000000">
      <w:pPr>
        <w:spacing w:after="100" w:line="280" w:lineRule="auto"/>
        <w:ind w:left="380" w:hanging="380"/>
        <w:rPr>
          <w:rFonts w:ascii="Times New Roman" w:hAnsi="Times New Roman" w:cs="Times New Roman"/>
        </w:rPr>
      </w:pPr>
      <w:r w:rsidRPr="000D786F">
        <w:rPr>
          <w:rFonts w:ascii="Times New Roman" w:hAnsi="Times New Roman" w:cs="Times New Roman"/>
          <w:b/>
          <w:bCs/>
          <w:sz w:val="21"/>
          <w:szCs w:val="21"/>
        </w:rPr>
        <w:lastRenderedPageBreak/>
        <w:t xml:space="preserve">[P5]  </w:t>
      </w:r>
      <w:r w:rsidRPr="000D786F">
        <w:rPr>
          <w:rFonts w:ascii="Times New Roman" w:hAnsi="Times New Roman" w:cs="Times New Roman"/>
          <w:sz w:val="21"/>
          <w:szCs w:val="21"/>
        </w:rPr>
        <w:t>Zoumpoulis, P., Konstantinidis, F. K., Tsimiklis, G., &amp; Amditis, A. (2024). Smart bins for enhanced resource recovery and sustainable urban waste practices in smart cities: A systematic literature review. Cities, 152, 105150.</w:t>
      </w:r>
    </w:p>
    <w:p w14:paraId="09EAA3C8" w14:textId="77777777" w:rsidR="0069087D" w:rsidRPr="000D786F" w:rsidRDefault="00000000">
      <w:pPr>
        <w:spacing w:after="100" w:line="280" w:lineRule="auto"/>
        <w:ind w:left="380" w:hanging="380"/>
        <w:rPr>
          <w:rFonts w:ascii="Times New Roman" w:hAnsi="Times New Roman" w:cs="Times New Roman"/>
        </w:rPr>
      </w:pPr>
      <w:r w:rsidRPr="000D786F">
        <w:rPr>
          <w:rFonts w:ascii="Times New Roman" w:hAnsi="Times New Roman" w:cs="Times New Roman"/>
          <w:b/>
          <w:bCs/>
          <w:sz w:val="21"/>
          <w:szCs w:val="21"/>
        </w:rPr>
        <w:t xml:space="preserve">[P6]  </w:t>
      </w:r>
      <w:r w:rsidRPr="000D786F">
        <w:rPr>
          <w:rFonts w:ascii="Times New Roman" w:hAnsi="Times New Roman" w:cs="Times New Roman"/>
          <w:sz w:val="21"/>
          <w:szCs w:val="21"/>
        </w:rPr>
        <w:t>Idrissi, A., Benabbou, R., Benhra, J., &amp; El Haji, M. (2024). Smart Waste Collection Based on Vehicle Routing Optimization: Case of Casablanca City. Procedia Computer Science, 236, 194–201.</w:t>
      </w:r>
    </w:p>
    <w:p w14:paraId="0999D2BA" w14:textId="77777777" w:rsidR="0069087D" w:rsidRPr="000D786F" w:rsidRDefault="00000000">
      <w:pPr>
        <w:spacing w:after="100" w:line="280" w:lineRule="auto"/>
        <w:ind w:left="380" w:hanging="380"/>
        <w:rPr>
          <w:rFonts w:ascii="Times New Roman" w:hAnsi="Times New Roman" w:cs="Times New Roman"/>
        </w:rPr>
      </w:pPr>
      <w:r w:rsidRPr="000D786F">
        <w:rPr>
          <w:rFonts w:ascii="Times New Roman" w:hAnsi="Times New Roman" w:cs="Times New Roman"/>
          <w:b/>
          <w:bCs/>
          <w:sz w:val="21"/>
          <w:szCs w:val="21"/>
        </w:rPr>
        <w:t xml:space="preserve">[P7]  </w:t>
      </w:r>
      <w:r w:rsidRPr="000D786F">
        <w:rPr>
          <w:rFonts w:ascii="Times New Roman" w:hAnsi="Times New Roman" w:cs="Times New Roman"/>
          <w:sz w:val="21"/>
          <w:szCs w:val="21"/>
        </w:rPr>
        <w:t>Martikkala, A., Mayanti, B., Helo, P., Lobov, A., &amp; Ituarte, I. F. (2023). Smart textile waste collection system – Dynamic route optimization with IoT. Journal of Environmental Management, 335, 117548.</w:t>
      </w:r>
    </w:p>
    <w:p w14:paraId="6D35DD58" w14:textId="77777777" w:rsidR="0069087D" w:rsidRPr="000D786F" w:rsidRDefault="00000000">
      <w:pPr>
        <w:spacing w:after="100" w:line="280" w:lineRule="auto"/>
        <w:ind w:left="380" w:hanging="380"/>
        <w:rPr>
          <w:rFonts w:ascii="Times New Roman" w:hAnsi="Times New Roman" w:cs="Times New Roman"/>
        </w:rPr>
      </w:pPr>
      <w:r w:rsidRPr="000D786F">
        <w:rPr>
          <w:rFonts w:ascii="Times New Roman" w:hAnsi="Times New Roman" w:cs="Times New Roman"/>
          <w:b/>
          <w:bCs/>
          <w:sz w:val="21"/>
          <w:szCs w:val="21"/>
        </w:rPr>
        <w:t xml:space="preserve">[P8]  </w:t>
      </w:r>
      <w:r w:rsidRPr="000D786F">
        <w:rPr>
          <w:rFonts w:ascii="Times New Roman" w:hAnsi="Times New Roman" w:cs="Times New Roman"/>
          <w:sz w:val="21"/>
          <w:szCs w:val="21"/>
        </w:rPr>
        <w:t>Olawade, D. B., Fapohunda, O., Wada, O. Z., Usman, O., Ige, A. O., Ajisafe, O., &amp; Oladapo, B. I. (2024). Smart waste management: a paradigm shift enabled by artificial intelligence. Waste Management Bulletin, 2(2), 244–263.</w:t>
      </w:r>
    </w:p>
    <w:p w14:paraId="46796684" w14:textId="77777777" w:rsidR="0069087D" w:rsidRPr="000D786F" w:rsidRDefault="00000000">
      <w:pPr>
        <w:pStyle w:val="Heading1"/>
        <w:pBdr>
          <w:bottom w:val="single" w:sz="6" w:space="4" w:color="1F4E79"/>
        </w:pBdr>
        <w:spacing w:before="280" w:after="140"/>
        <w:rPr>
          <w:rFonts w:ascii="Times New Roman" w:hAnsi="Times New Roman" w:cs="Times New Roman"/>
        </w:rPr>
      </w:pPr>
      <w:r w:rsidRPr="000D786F">
        <w:rPr>
          <w:rFonts w:ascii="Times New Roman" w:hAnsi="Times New Roman" w:cs="Times New Roman"/>
          <w:b/>
          <w:bCs/>
          <w:color w:val="1F4E79"/>
          <w:sz w:val="30"/>
          <w:szCs w:val="30"/>
        </w:rPr>
        <w:t>3. Individual Paper Reviews</w:t>
      </w:r>
    </w:p>
    <w:p w14:paraId="3A5E9F02"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Each selected paper is summarised below in terms of its objective, methodology and technologies/datasets used, and major findings.</w:t>
      </w:r>
    </w:p>
    <w:p w14:paraId="5B06ED63" w14:textId="77777777" w:rsidR="0069087D" w:rsidRPr="000D786F" w:rsidRDefault="00000000">
      <w:pPr>
        <w:spacing w:before="160" w:after="80"/>
        <w:rPr>
          <w:rFonts w:ascii="Times New Roman" w:hAnsi="Times New Roman" w:cs="Times New Roman"/>
        </w:rPr>
      </w:pPr>
      <w:r w:rsidRPr="000D786F">
        <w:rPr>
          <w:rFonts w:ascii="Times New Roman" w:hAnsi="Times New Roman" w:cs="Times New Roman"/>
          <w:b/>
          <w:bCs/>
          <w:i/>
          <w:iCs/>
          <w:color w:val="333333"/>
          <w:sz w:val="23"/>
          <w:szCs w:val="23"/>
        </w:rPr>
        <w:t>[P1] Alaoui, Belhiah &amp; Ziti (2025) — IoT-Enabled Waste Management in Smart Cities: A Systematic Literature Review</w:t>
      </w:r>
    </w:p>
    <w:p w14:paraId="33CDCAC1"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This paper synthesises trends in IoT-based waste collection by systematically reviewing peer-reviewed studies published between 2018 and 2024. The methodology follows a structured systematic-literature-review (SLR) protocol covering real-time monitoring systems, predictive analytics, and optimisation algorithms rather than proposing a new system of its own. Drawing on the aggregated evidence, the review reports that IoT-based smart bins and dynamic routing reduce bin overflow and manual labour costs while improving routing efficiency, recycling rates, and bin-placement decisions across the studies examined.</w:t>
      </w:r>
    </w:p>
    <w:p w14:paraId="78E81524" w14:textId="77777777" w:rsidR="0069087D" w:rsidRPr="000D786F" w:rsidRDefault="00000000">
      <w:pPr>
        <w:spacing w:before="160" w:after="80"/>
        <w:rPr>
          <w:rFonts w:ascii="Times New Roman" w:hAnsi="Times New Roman" w:cs="Times New Roman"/>
        </w:rPr>
      </w:pPr>
      <w:r w:rsidRPr="000D786F">
        <w:rPr>
          <w:rFonts w:ascii="Times New Roman" w:hAnsi="Times New Roman" w:cs="Times New Roman"/>
          <w:b/>
          <w:bCs/>
          <w:i/>
          <w:iCs/>
          <w:color w:val="333333"/>
          <w:sz w:val="23"/>
          <w:szCs w:val="23"/>
        </w:rPr>
        <w:t>[P2] Ali, Javed, Alharbi, Alotaibi &amp; Alkhathami (2024) — Internet of Things-Assisted Vehicle Route Optimization for Municipal Solid Waste Collection</w:t>
      </w:r>
    </w:p>
    <w:p w14:paraId="7A800DC5"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This paper targets the specific problem of selecting collection priority and routes when bins differ in waste toxicity, volume, and dwell time. The authors combine IoT sensor data with a TOPSIS (multi-criteria decision-making) algorithm to rank bins and generate optimised collection routes, evaluating the approach through simulation. The method is reported to minimise total route distance while balancing multiple competing decision criteria more effectively than single-criterion scheduling.</w:t>
      </w:r>
    </w:p>
    <w:p w14:paraId="1D9D3CF9" w14:textId="77777777" w:rsidR="0069087D" w:rsidRPr="000D786F" w:rsidRDefault="00000000">
      <w:pPr>
        <w:spacing w:before="160" w:after="80"/>
        <w:rPr>
          <w:rFonts w:ascii="Times New Roman" w:hAnsi="Times New Roman" w:cs="Times New Roman"/>
        </w:rPr>
      </w:pPr>
      <w:r w:rsidRPr="000D786F">
        <w:rPr>
          <w:rFonts w:ascii="Times New Roman" w:hAnsi="Times New Roman" w:cs="Times New Roman"/>
          <w:b/>
          <w:bCs/>
          <w:i/>
          <w:iCs/>
          <w:color w:val="333333"/>
          <w:sz w:val="23"/>
          <w:szCs w:val="23"/>
        </w:rPr>
        <w:t>[P3] Kannan, Khademolqorani, Janatyan &amp; Alavi (2024) — Smart Waste Management 4.0: The Transition from a Systematic Review to an Integrated Framework</w:t>
      </w:r>
    </w:p>
    <w:p w14:paraId="3438E06B"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This large-scale systematic review (151 references) examines how Industry 4.0 technologies — IoT, AI, big data, and blockchain — are applied across different waste types and the 5R (reduce, reuse, recycle, recover, redesign) strategy. Rather than deploying a system, the authors synthesise the reviewed literature into a conceptual SWM4.0 framework spanning smart factories, cities, businesses, and people, arguing that Industry 4.0 technologies meaningfully improve waste tracking, sorting, and e-waste recycling processes.</w:t>
      </w:r>
    </w:p>
    <w:p w14:paraId="0506390C" w14:textId="77777777" w:rsidR="0069087D" w:rsidRPr="000D786F" w:rsidRDefault="00000000">
      <w:pPr>
        <w:spacing w:before="160" w:after="80"/>
        <w:rPr>
          <w:rFonts w:ascii="Times New Roman" w:hAnsi="Times New Roman" w:cs="Times New Roman"/>
        </w:rPr>
      </w:pPr>
      <w:r w:rsidRPr="000D786F">
        <w:rPr>
          <w:rFonts w:ascii="Times New Roman" w:hAnsi="Times New Roman" w:cs="Times New Roman"/>
          <w:b/>
          <w:bCs/>
          <w:i/>
          <w:iCs/>
          <w:color w:val="333333"/>
          <w:sz w:val="23"/>
          <w:szCs w:val="23"/>
        </w:rPr>
        <w:t>[P4] Addas, Khan &amp; Naseer (2024) — Waste Management 2.0 Leveraging Internet of Things for an Efficient and Eco-Friendly Smart City Solution</w:t>
      </w:r>
    </w:p>
    <w:p w14:paraId="5AC74279"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 xml:space="preserve">This paper presents and validates an end-to-end smart waste system combining an ultrasonic fill-level sensor prototype, LoRaWAN/cellular connectivity, a cloud analytics platform, and a dynamic route-optimisation algorithm. The system was piloted across ten locations in Lahore, Pakistan, processing over 200 million sensor </w:t>
      </w:r>
      <w:r w:rsidRPr="000D786F">
        <w:rPr>
          <w:rFonts w:ascii="Times New Roman" w:hAnsi="Times New Roman" w:cs="Times New Roman"/>
        </w:rPr>
        <w:lastRenderedPageBreak/>
        <w:t>data points. Reported results include a 32% improvement in route efficiency, a 29% reduction in fuel consumption and emissions, a 33% increase in processing throughput, and 18% savings in vehicle maintenance compared with conventional collection practice.</w:t>
      </w:r>
    </w:p>
    <w:p w14:paraId="294DEFE1" w14:textId="77777777" w:rsidR="0069087D" w:rsidRPr="000D786F" w:rsidRDefault="00000000">
      <w:pPr>
        <w:spacing w:before="160" w:after="80"/>
        <w:rPr>
          <w:rFonts w:ascii="Times New Roman" w:hAnsi="Times New Roman" w:cs="Times New Roman"/>
        </w:rPr>
      </w:pPr>
      <w:r w:rsidRPr="000D786F">
        <w:rPr>
          <w:rFonts w:ascii="Times New Roman" w:hAnsi="Times New Roman" w:cs="Times New Roman"/>
          <w:b/>
          <w:bCs/>
          <w:i/>
          <w:iCs/>
          <w:color w:val="333333"/>
          <w:sz w:val="23"/>
          <w:szCs w:val="23"/>
        </w:rPr>
        <w:t>[P5] Zoumpoulis, Konstantinidis, Tsimiklis &amp; Amditis (2024) — Smart Bins for Enhanced Resource Recovery and Sustainable Urban Waste Practices in Smart Cities: A Systematic Literature Review</w:t>
      </w:r>
    </w:p>
    <w:p w14:paraId="2DF84F00"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This systematic review focuses specifically on smart-bin technologies and their contribution to resource recovery in urban waste practices. It surveys sensor types, connectivity approaches, and bin designs reported across the literature rather than testing a single system. The review concludes that smart bins can improve recyclable-material recovery and reduce unnecessary collection of under-filled bins, though adoption levels and reported metrics vary considerably across regions and studies.</w:t>
      </w:r>
    </w:p>
    <w:p w14:paraId="29FB78AF" w14:textId="77777777" w:rsidR="0069087D" w:rsidRPr="000D786F" w:rsidRDefault="00000000">
      <w:pPr>
        <w:spacing w:before="160" w:after="80"/>
        <w:rPr>
          <w:rFonts w:ascii="Times New Roman" w:hAnsi="Times New Roman" w:cs="Times New Roman"/>
        </w:rPr>
      </w:pPr>
      <w:r w:rsidRPr="000D786F">
        <w:rPr>
          <w:rFonts w:ascii="Times New Roman" w:hAnsi="Times New Roman" w:cs="Times New Roman"/>
          <w:b/>
          <w:bCs/>
          <w:i/>
          <w:iCs/>
          <w:color w:val="333333"/>
          <w:sz w:val="23"/>
          <w:szCs w:val="23"/>
        </w:rPr>
        <w:t>[P6] Idrissi, Benabbou, Benhra &amp; El Haji (2024) — Smart Waste Collection Based on Vehicle Routing Optimization: Case of Casablanca City</w:t>
      </w:r>
    </w:p>
    <w:p w14:paraId="2F51A891"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This case study applies a Vehicle Routing Problem (VRP) formulation to municipal waste collection zones in Casablanca, Morocco, comparing optimised routes against the city's existing manual routing practice. The methodology relies on geographic zone data and a VRP solver/heuristic rather than real-time IoT sensing. The optimised routes are reported to reduce total travel distance and collection time relative to current manual practice.</w:t>
      </w:r>
    </w:p>
    <w:p w14:paraId="6ABC9817" w14:textId="77777777" w:rsidR="0069087D" w:rsidRPr="000D786F" w:rsidRDefault="00000000">
      <w:pPr>
        <w:spacing w:before="160" w:after="80"/>
        <w:rPr>
          <w:rFonts w:ascii="Times New Roman" w:hAnsi="Times New Roman" w:cs="Times New Roman"/>
        </w:rPr>
      </w:pPr>
      <w:r w:rsidRPr="000D786F">
        <w:rPr>
          <w:rFonts w:ascii="Times New Roman" w:hAnsi="Times New Roman" w:cs="Times New Roman"/>
          <w:b/>
          <w:bCs/>
          <w:i/>
          <w:iCs/>
          <w:color w:val="333333"/>
          <w:sz w:val="23"/>
          <w:szCs w:val="23"/>
        </w:rPr>
        <w:t>[P7] Martikkala, Mayanti, Helo, Lobov &amp; Ituarte (2023) — Smart Textile Waste Collection System: Dynamic Route Optimization with IoT</w:t>
      </w:r>
    </w:p>
    <w:p w14:paraId="6023AD41"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This paper designs a smart collection system specifically for textile waste, equipping collection containers with IoT fill-level sensors that feed a dynamic routing algorithm. The system reacts to real-time container fill data rather than a fixed collection calendar. The authors report that dynamic, sensor-driven routing reduces unnecessary collection trips compared with fixed-interval collection of textile containers.</w:t>
      </w:r>
    </w:p>
    <w:p w14:paraId="53BA7CF7" w14:textId="77777777" w:rsidR="0069087D" w:rsidRPr="000D786F" w:rsidRDefault="00000000">
      <w:pPr>
        <w:spacing w:before="160" w:after="80"/>
        <w:rPr>
          <w:rFonts w:ascii="Times New Roman" w:hAnsi="Times New Roman" w:cs="Times New Roman"/>
        </w:rPr>
      </w:pPr>
      <w:r w:rsidRPr="000D786F">
        <w:rPr>
          <w:rFonts w:ascii="Times New Roman" w:hAnsi="Times New Roman" w:cs="Times New Roman"/>
          <w:b/>
          <w:bCs/>
          <w:i/>
          <w:iCs/>
          <w:color w:val="333333"/>
          <w:sz w:val="23"/>
          <w:szCs w:val="23"/>
        </w:rPr>
        <w:t>[P8] Olawade, Fapohunda, Wada, Usman, Ige, Ajisafe &amp; Oladapo (2024) — Smart Waste Management: A Paradigm Shift Enabled by Artificial Intelligence</w:t>
      </w:r>
    </w:p>
    <w:p w14:paraId="3458EE37"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This review paper examines how artificial intelligence — including machine learning, computer vision, and predictive analytics — is being layered on top of IoT infrastructure across the waste management lifecycle: classification, overflow prediction, and route planning. It synthesises reported AI applications rather than proposing a new system, concluding that AI represents a meaningful paradigm shift from purely IoT-based monitoring toward predictive, adaptive waste management, while noting that many of the reviewed AI systems remain at prototype or pilot stage.</w:t>
      </w:r>
    </w:p>
    <w:p w14:paraId="52B78FB1" w14:textId="77777777" w:rsidR="0069087D" w:rsidRPr="000D786F" w:rsidRDefault="0069087D">
      <w:pPr>
        <w:rPr>
          <w:rFonts w:ascii="Times New Roman" w:hAnsi="Times New Roman" w:cs="Times New Roman"/>
        </w:rPr>
        <w:sectPr w:rsidR="0069087D" w:rsidRPr="000D786F">
          <w:headerReference w:type="default" r:id="rId7"/>
          <w:footerReference w:type="default" r:id="rId8"/>
          <w:pgSz w:w="12240" w:h="15840"/>
          <w:pgMar w:top="1080" w:right="1260" w:bottom="1080" w:left="1260" w:header="708" w:footer="708" w:gutter="0"/>
          <w:cols w:space="720"/>
          <w:docGrid w:linePitch="360"/>
        </w:sectPr>
      </w:pPr>
    </w:p>
    <w:p w14:paraId="67105FBA" w14:textId="77777777" w:rsidR="0069087D" w:rsidRPr="000D786F" w:rsidRDefault="00000000">
      <w:pPr>
        <w:pStyle w:val="Heading1"/>
        <w:pBdr>
          <w:bottom w:val="single" w:sz="6" w:space="4" w:color="1F4E79"/>
        </w:pBdr>
        <w:spacing w:before="280" w:after="140"/>
        <w:rPr>
          <w:rFonts w:ascii="Times New Roman" w:hAnsi="Times New Roman" w:cs="Times New Roman"/>
        </w:rPr>
      </w:pPr>
      <w:r w:rsidRPr="000D786F">
        <w:rPr>
          <w:rFonts w:ascii="Times New Roman" w:hAnsi="Times New Roman" w:cs="Times New Roman"/>
          <w:b/>
          <w:bCs/>
          <w:color w:val="1F4E79"/>
          <w:sz w:val="30"/>
          <w:szCs w:val="30"/>
        </w:rPr>
        <w:lastRenderedPageBreak/>
        <w:t>4. Comparative Literature Survey Table</w:t>
      </w:r>
    </w:p>
    <w:p w14:paraId="7A354805"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The table below compares the eight reviewed papers across research problem, methodology, dataset/tools, key findings, limitations, and the specific research gap each leaves open.</w:t>
      </w:r>
    </w:p>
    <w:tbl>
      <w:tblPr>
        <w:tblW w:w="13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000"/>
        <w:gridCol w:w="2150"/>
        <w:gridCol w:w="1800"/>
        <w:gridCol w:w="2200"/>
        <w:gridCol w:w="1950"/>
        <w:gridCol w:w="1700"/>
      </w:tblGrid>
      <w:tr w:rsidR="0069087D" w:rsidRPr="000D786F" w14:paraId="27533D47" w14:textId="77777777">
        <w:tblPrEx>
          <w:tblCellMar>
            <w:top w:w="0" w:type="dxa"/>
            <w:bottom w:w="0" w:type="dxa"/>
          </w:tblCellMar>
        </w:tblPrEx>
        <w:trPr>
          <w:tblHeader/>
        </w:trPr>
        <w:tc>
          <w:tcPr>
            <w:tcW w:w="1650" w:type="dxa"/>
            <w:shd w:val="clear" w:color="auto" w:fill="1F4E79"/>
            <w:tcMar>
              <w:top w:w="70" w:type="dxa"/>
              <w:left w:w="90" w:type="dxa"/>
              <w:bottom w:w="70" w:type="dxa"/>
              <w:right w:w="90" w:type="dxa"/>
            </w:tcMar>
            <w:vAlign w:val="center"/>
          </w:tcPr>
          <w:p w14:paraId="6918E5C5" w14:textId="77777777" w:rsidR="0069087D" w:rsidRPr="000D786F" w:rsidRDefault="00000000">
            <w:pPr>
              <w:rPr>
                <w:rFonts w:ascii="Times New Roman" w:hAnsi="Times New Roman" w:cs="Times New Roman"/>
              </w:rPr>
            </w:pPr>
            <w:r w:rsidRPr="000D786F">
              <w:rPr>
                <w:rFonts w:ascii="Times New Roman" w:hAnsi="Times New Roman" w:cs="Times New Roman"/>
                <w:b/>
                <w:bCs/>
                <w:color w:val="FFFFFF"/>
                <w:sz w:val="18"/>
                <w:szCs w:val="18"/>
              </w:rPr>
              <w:t>Author/Year</w:t>
            </w:r>
          </w:p>
        </w:tc>
        <w:tc>
          <w:tcPr>
            <w:tcW w:w="2000" w:type="dxa"/>
            <w:shd w:val="clear" w:color="auto" w:fill="1F4E79"/>
            <w:tcMar>
              <w:top w:w="70" w:type="dxa"/>
              <w:left w:w="90" w:type="dxa"/>
              <w:bottom w:w="70" w:type="dxa"/>
              <w:right w:w="90" w:type="dxa"/>
            </w:tcMar>
            <w:vAlign w:val="center"/>
          </w:tcPr>
          <w:p w14:paraId="7B339D71" w14:textId="77777777" w:rsidR="0069087D" w:rsidRPr="000D786F" w:rsidRDefault="00000000">
            <w:pPr>
              <w:rPr>
                <w:rFonts w:ascii="Times New Roman" w:hAnsi="Times New Roman" w:cs="Times New Roman"/>
              </w:rPr>
            </w:pPr>
            <w:r w:rsidRPr="000D786F">
              <w:rPr>
                <w:rFonts w:ascii="Times New Roman" w:hAnsi="Times New Roman" w:cs="Times New Roman"/>
                <w:b/>
                <w:bCs/>
                <w:color w:val="FFFFFF"/>
                <w:sz w:val="18"/>
                <w:szCs w:val="18"/>
              </w:rPr>
              <w:t>Research Problem</w:t>
            </w:r>
          </w:p>
        </w:tc>
        <w:tc>
          <w:tcPr>
            <w:tcW w:w="2150" w:type="dxa"/>
            <w:shd w:val="clear" w:color="auto" w:fill="1F4E79"/>
            <w:tcMar>
              <w:top w:w="70" w:type="dxa"/>
              <w:left w:w="90" w:type="dxa"/>
              <w:bottom w:w="70" w:type="dxa"/>
              <w:right w:w="90" w:type="dxa"/>
            </w:tcMar>
            <w:vAlign w:val="center"/>
          </w:tcPr>
          <w:p w14:paraId="062BE0F4" w14:textId="77777777" w:rsidR="0069087D" w:rsidRPr="000D786F" w:rsidRDefault="00000000">
            <w:pPr>
              <w:rPr>
                <w:rFonts w:ascii="Times New Roman" w:hAnsi="Times New Roman" w:cs="Times New Roman"/>
              </w:rPr>
            </w:pPr>
            <w:r w:rsidRPr="000D786F">
              <w:rPr>
                <w:rFonts w:ascii="Times New Roman" w:hAnsi="Times New Roman" w:cs="Times New Roman"/>
                <w:b/>
                <w:bCs/>
                <w:color w:val="FFFFFF"/>
                <w:sz w:val="18"/>
                <w:szCs w:val="18"/>
              </w:rPr>
              <w:t>Methodology</w:t>
            </w:r>
          </w:p>
        </w:tc>
        <w:tc>
          <w:tcPr>
            <w:tcW w:w="1800" w:type="dxa"/>
            <w:shd w:val="clear" w:color="auto" w:fill="1F4E79"/>
            <w:tcMar>
              <w:top w:w="70" w:type="dxa"/>
              <w:left w:w="90" w:type="dxa"/>
              <w:bottom w:w="70" w:type="dxa"/>
              <w:right w:w="90" w:type="dxa"/>
            </w:tcMar>
            <w:vAlign w:val="center"/>
          </w:tcPr>
          <w:p w14:paraId="5C61AF81" w14:textId="77777777" w:rsidR="0069087D" w:rsidRPr="000D786F" w:rsidRDefault="00000000">
            <w:pPr>
              <w:rPr>
                <w:rFonts w:ascii="Times New Roman" w:hAnsi="Times New Roman" w:cs="Times New Roman"/>
              </w:rPr>
            </w:pPr>
            <w:r w:rsidRPr="000D786F">
              <w:rPr>
                <w:rFonts w:ascii="Times New Roman" w:hAnsi="Times New Roman" w:cs="Times New Roman"/>
                <w:b/>
                <w:bCs/>
                <w:color w:val="FFFFFF"/>
                <w:sz w:val="18"/>
                <w:szCs w:val="18"/>
              </w:rPr>
              <w:t>Dataset/Tools</w:t>
            </w:r>
          </w:p>
        </w:tc>
        <w:tc>
          <w:tcPr>
            <w:tcW w:w="2200" w:type="dxa"/>
            <w:shd w:val="clear" w:color="auto" w:fill="1F4E79"/>
            <w:tcMar>
              <w:top w:w="70" w:type="dxa"/>
              <w:left w:w="90" w:type="dxa"/>
              <w:bottom w:w="70" w:type="dxa"/>
              <w:right w:w="90" w:type="dxa"/>
            </w:tcMar>
            <w:vAlign w:val="center"/>
          </w:tcPr>
          <w:p w14:paraId="2A96D0EA" w14:textId="77777777" w:rsidR="0069087D" w:rsidRPr="000D786F" w:rsidRDefault="00000000">
            <w:pPr>
              <w:rPr>
                <w:rFonts w:ascii="Times New Roman" w:hAnsi="Times New Roman" w:cs="Times New Roman"/>
              </w:rPr>
            </w:pPr>
            <w:r w:rsidRPr="000D786F">
              <w:rPr>
                <w:rFonts w:ascii="Times New Roman" w:hAnsi="Times New Roman" w:cs="Times New Roman"/>
                <w:b/>
                <w:bCs/>
                <w:color w:val="FFFFFF"/>
                <w:sz w:val="18"/>
                <w:szCs w:val="18"/>
              </w:rPr>
              <w:t>Key Findings</w:t>
            </w:r>
          </w:p>
        </w:tc>
        <w:tc>
          <w:tcPr>
            <w:tcW w:w="1950" w:type="dxa"/>
            <w:shd w:val="clear" w:color="auto" w:fill="1F4E79"/>
            <w:tcMar>
              <w:top w:w="70" w:type="dxa"/>
              <w:left w:w="90" w:type="dxa"/>
              <w:bottom w:w="70" w:type="dxa"/>
              <w:right w:w="90" w:type="dxa"/>
            </w:tcMar>
            <w:vAlign w:val="center"/>
          </w:tcPr>
          <w:p w14:paraId="76D96DCE" w14:textId="77777777" w:rsidR="0069087D" w:rsidRPr="000D786F" w:rsidRDefault="00000000">
            <w:pPr>
              <w:rPr>
                <w:rFonts w:ascii="Times New Roman" w:hAnsi="Times New Roman" w:cs="Times New Roman"/>
              </w:rPr>
            </w:pPr>
            <w:r w:rsidRPr="000D786F">
              <w:rPr>
                <w:rFonts w:ascii="Times New Roman" w:hAnsi="Times New Roman" w:cs="Times New Roman"/>
                <w:b/>
                <w:bCs/>
                <w:color w:val="FFFFFF"/>
                <w:sz w:val="18"/>
                <w:szCs w:val="18"/>
              </w:rPr>
              <w:t>Limitations</w:t>
            </w:r>
          </w:p>
        </w:tc>
        <w:tc>
          <w:tcPr>
            <w:tcW w:w="1700" w:type="dxa"/>
            <w:shd w:val="clear" w:color="auto" w:fill="1F4E79"/>
            <w:tcMar>
              <w:top w:w="70" w:type="dxa"/>
              <w:left w:w="90" w:type="dxa"/>
              <w:bottom w:w="70" w:type="dxa"/>
              <w:right w:w="90" w:type="dxa"/>
            </w:tcMar>
            <w:vAlign w:val="center"/>
          </w:tcPr>
          <w:p w14:paraId="0E567F03" w14:textId="77777777" w:rsidR="0069087D" w:rsidRPr="000D786F" w:rsidRDefault="00000000">
            <w:pPr>
              <w:rPr>
                <w:rFonts w:ascii="Times New Roman" w:hAnsi="Times New Roman" w:cs="Times New Roman"/>
              </w:rPr>
            </w:pPr>
            <w:r w:rsidRPr="000D786F">
              <w:rPr>
                <w:rFonts w:ascii="Times New Roman" w:hAnsi="Times New Roman" w:cs="Times New Roman"/>
                <w:b/>
                <w:bCs/>
                <w:color w:val="FFFFFF"/>
                <w:sz w:val="18"/>
                <w:szCs w:val="18"/>
              </w:rPr>
              <w:t>Research Gap</w:t>
            </w:r>
          </w:p>
        </w:tc>
      </w:tr>
      <w:tr w:rsidR="0069087D" w:rsidRPr="000D786F" w14:paraId="79B079F9" w14:textId="77777777">
        <w:tblPrEx>
          <w:tblCellMar>
            <w:top w:w="0" w:type="dxa"/>
            <w:bottom w:w="0" w:type="dxa"/>
          </w:tblCellMar>
        </w:tblPrEx>
        <w:tc>
          <w:tcPr>
            <w:tcW w:w="1650" w:type="dxa"/>
            <w:tcMar>
              <w:top w:w="70" w:type="dxa"/>
              <w:left w:w="90" w:type="dxa"/>
              <w:bottom w:w="70" w:type="dxa"/>
              <w:right w:w="90" w:type="dxa"/>
            </w:tcMar>
            <w:vAlign w:val="center"/>
          </w:tcPr>
          <w:p w14:paraId="3F62A68F"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Alaoui et al. (2025)</w:t>
            </w:r>
          </w:p>
        </w:tc>
        <w:tc>
          <w:tcPr>
            <w:tcW w:w="2000" w:type="dxa"/>
            <w:tcMar>
              <w:top w:w="70" w:type="dxa"/>
              <w:left w:w="90" w:type="dxa"/>
              <w:bottom w:w="70" w:type="dxa"/>
              <w:right w:w="90" w:type="dxa"/>
            </w:tcMar>
            <w:vAlign w:val="center"/>
          </w:tcPr>
          <w:p w14:paraId="469C86A7"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How IoT improves waste collection in smart cities</w:t>
            </w:r>
          </w:p>
        </w:tc>
        <w:tc>
          <w:tcPr>
            <w:tcW w:w="2150" w:type="dxa"/>
            <w:tcMar>
              <w:top w:w="70" w:type="dxa"/>
              <w:left w:w="90" w:type="dxa"/>
              <w:bottom w:w="70" w:type="dxa"/>
              <w:right w:w="90" w:type="dxa"/>
            </w:tcMar>
            <w:vAlign w:val="center"/>
          </w:tcPr>
          <w:p w14:paraId="7DE6922D"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Systematic literature review (2018-2024 studies)</w:t>
            </w:r>
          </w:p>
        </w:tc>
        <w:tc>
          <w:tcPr>
            <w:tcW w:w="1800" w:type="dxa"/>
            <w:tcMar>
              <w:top w:w="70" w:type="dxa"/>
              <w:left w:w="90" w:type="dxa"/>
              <w:bottom w:w="70" w:type="dxa"/>
              <w:right w:w="90" w:type="dxa"/>
            </w:tcMar>
            <w:vAlign w:val="center"/>
          </w:tcPr>
          <w:p w14:paraId="1182BC91"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Secondary review — no primary dataset</w:t>
            </w:r>
          </w:p>
        </w:tc>
        <w:tc>
          <w:tcPr>
            <w:tcW w:w="2200" w:type="dxa"/>
            <w:tcMar>
              <w:top w:w="70" w:type="dxa"/>
              <w:left w:w="90" w:type="dxa"/>
              <w:bottom w:w="70" w:type="dxa"/>
              <w:right w:w="90" w:type="dxa"/>
            </w:tcMar>
            <w:vAlign w:val="center"/>
          </w:tcPr>
          <w:p w14:paraId="5F88AFA9"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IoT smart bins &amp; dynamic routing cut overflow, labour cost, and improve recycling</w:t>
            </w:r>
          </w:p>
        </w:tc>
        <w:tc>
          <w:tcPr>
            <w:tcW w:w="1950" w:type="dxa"/>
            <w:tcMar>
              <w:top w:w="70" w:type="dxa"/>
              <w:left w:w="90" w:type="dxa"/>
              <w:bottom w:w="70" w:type="dxa"/>
              <w:right w:w="90" w:type="dxa"/>
            </w:tcMar>
            <w:vAlign w:val="center"/>
          </w:tcPr>
          <w:p w14:paraId="19C7CDF3"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Aggregates heterogeneous studies with differing metrics; no new empirical test</w:t>
            </w:r>
          </w:p>
        </w:tc>
        <w:tc>
          <w:tcPr>
            <w:tcW w:w="1700" w:type="dxa"/>
            <w:tcMar>
              <w:top w:w="70" w:type="dxa"/>
              <w:left w:w="90" w:type="dxa"/>
              <w:bottom w:w="70" w:type="dxa"/>
              <w:right w:w="90" w:type="dxa"/>
            </w:tcMar>
            <w:vAlign w:val="center"/>
          </w:tcPr>
          <w:p w14:paraId="213497CE"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Lacks a unified evaluation framework/metric set across reviewed IoT waste systems</w:t>
            </w:r>
          </w:p>
        </w:tc>
      </w:tr>
      <w:tr w:rsidR="0069087D" w:rsidRPr="000D786F" w14:paraId="75EB2D12" w14:textId="77777777">
        <w:tblPrEx>
          <w:tblCellMar>
            <w:top w:w="0" w:type="dxa"/>
            <w:bottom w:w="0" w:type="dxa"/>
          </w:tblCellMar>
        </w:tblPrEx>
        <w:tc>
          <w:tcPr>
            <w:tcW w:w="1650" w:type="dxa"/>
            <w:shd w:val="clear" w:color="auto" w:fill="F2F7FB"/>
            <w:tcMar>
              <w:top w:w="70" w:type="dxa"/>
              <w:left w:w="90" w:type="dxa"/>
              <w:bottom w:w="70" w:type="dxa"/>
              <w:right w:w="90" w:type="dxa"/>
            </w:tcMar>
            <w:vAlign w:val="center"/>
          </w:tcPr>
          <w:p w14:paraId="024431E2"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Ali et al. (2024)</w:t>
            </w:r>
          </w:p>
        </w:tc>
        <w:tc>
          <w:tcPr>
            <w:tcW w:w="2000" w:type="dxa"/>
            <w:shd w:val="clear" w:color="auto" w:fill="F2F7FB"/>
            <w:tcMar>
              <w:top w:w="70" w:type="dxa"/>
              <w:left w:w="90" w:type="dxa"/>
              <w:bottom w:w="70" w:type="dxa"/>
              <w:right w:w="90" w:type="dxa"/>
            </w:tcMar>
            <w:vAlign w:val="center"/>
          </w:tcPr>
          <w:p w14:paraId="0D3A5849"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Prioritising and routing collection across bins with differing waste risk</w:t>
            </w:r>
          </w:p>
        </w:tc>
        <w:tc>
          <w:tcPr>
            <w:tcW w:w="2150" w:type="dxa"/>
            <w:shd w:val="clear" w:color="auto" w:fill="F2F7FB"/>
            <w:tcMar>
              <w:top w:w="70" w:type="dxa"/>
              <w:left w:w="90" w:type="dxa"/>
              <w:bottom w:w="70" w:type="dxa"/>
              <w:right w:w="90" w:type="dxa"/>
            </w:tcMar>
            <w:vAlign w:val="center"/>
          </w:tcPr>
          <w:p w14:paraId="1259B04E"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IoT sensing + TOPSIS multi-criteria decision algorithm; simulation-based evaluation</w:t>
            </w:r>
          </w:p>
        </w:tc>
        <w:tc>
          <w:tcPr>
            <w:tcW w:w="1800" w:type="dxa"/>
            <w:shd w:val="clear" w:color="auto" w:fill="F2F7FB"/>
            <w:tcMar>
              <w:top w:w="70" w:type="dxa"/>
              <w:left w:w="90" w:type="dxa"/>
              <w:bottom w:w="70" w:type="dxa"/>
              <w:right w:w="90" w:type="dxa"/>
            </w:tcMar>
            <w:vAlign w:val="center"/>
          </w:tcPr>
          <w:p w14:paraId="15CD6B42"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IoT toxicity/volume/time sensors; simulated routing scenarios</w:t>
            </w:r>
          </w:p>
        </w:tc>
        <w:tc>
          <w:tcPr>
            <w:tcW w:w="2200" w:type="dxa"/>
            <w:shd w:val="clear" w:color="auto" w:fill="F2F7FB"/>
            <w:tcMar>
              <w:top w:w="70" w:type="dxa"/>
              <w:left w:w="90" w:type="dxa"/>
              <w:bottom w:w="70" w:type="dxa"/>
              <w:right w:w="90" w:type="dxa"/>
            </w:tcMar>
            <w:vAlign w:val="center"/>
          </w:tcPr>
          <w:p w14:paraId="04987FC9"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TOPSIS reduces route distance while balancing multiple competing criteria</w:t>
            </w:r>
          </w:p>
        </w:tc>
        <w:tc>
          <w:tcPr>
            <w:tcW w:w="1950" w:type="dxa"/>
            <w:shd w:val="clear" w:color="auto" w:fill="F2F7FB"/>
            <w:tcMar>
              <w:top w:w="70" w:type="dxa"/>
              <w:left w:w="90" w:type="dxa"/>
              <w:bottom w:w="70" w:type="dxa"/>
              <w:right w:w="90" w:type="dxa"/>
            </w:tcMar>
            <w:vAlign w:val="center"/>
          </w:tcPr>
          <w:p w14:paraId="696AF1B6"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Simulation only; not validated at citywide, real-world scale</w:t>
            </w:r>
          </w:p>
        </w:tc>
        <w:tc>
          <w:tcPr>
            <w:tcW w:w="1700" w:type="dxa"/>
            <w:shd w:val="clear" w:color="auto" w:fill="F2F7FB"/>
            <w:tcMar>
              <w:top w:w="70" w:type="dxa"/>
              <w:left w:w="90" w:type="dxa"/>
              <w:bottom w:w="70" w:type="dxa"/>
              <w:right w:w="90" w:type="dxa"/>
            </w:tcMar>
            <w:vAlign w:val="center"/>
          </w:tcPr>
          <w:p w14:paraId="46C7B157"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No real-world, large-fleet validation of TOPSIS-based prioritisation</w:t>
            </w:r>
          </w:p>
        </w:tc>
      </w:tr>
      <w:tr w:rsidR="0069087D" w:rsidRPr="000D786F" w14:paraId="6036C75F" w14:textId="77777777">
        <w:tblPrEx>
          <w:tblCellMar>
            <w:top w:w="0" w:type="dxa"/>
            <w:bottom w:w="0" w:type="dxa"/>
          </w:tblCellMar>
        </w:tblPrEx>
        <w:tc>
          <w:tcPr>
            <w:tcW w:w="1650" w:type="dxa"/>
            <w:tcMar>
              <w:top w:w="70" w:type="dxa"/>
              <w:left w:w="90" w:type="dxa"/>
              <w:bottom w:w="70" w:type="dxa"/>
              <w:right w:w="90" w:type="dxa"/>
            </w:tcMar>
            <w:vAlign w:val="center"/>
          </w:tcPr>
          <w:p w14:paraId="5A2CFCE8"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Kannan et al. (2024)</w:t>
            </w:r>
          </w:p>
        </w:tc>
        <w:tc>
          <w:tcPr>
            <w:tcW w:w="2000" w:type="dxa"/>
            <w:tcMar>
              <w:top w:w="70" w:type="dxa"/>
              <w:left w:w="90" w:type="dxa"/>
              <w:bottom w:w="70" w:type="dxa"/>
              <w:right w:w="90" w:type="dxa"/>
            </w:tcMar>
            <w:vAlign w:val="center"/>
          </w:tcPr>
          <w:p w14:paraId="0AEF2361"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How Industry 4.0 technologies map onto waste management processes</w:t>
            </w:r>
          </w:p>
        </w:tc>
        <w:tc>
          <w:tcPr>
            <w:tcW w:w="2150" w:type="dxa"/>
            <w:tcMar>
              <w:top w:w="70" w:type="dxa"/>
              <w:left w:w="90" w:type="dxa"/>
              <w:bottom w:w="70" w:type="dxa"/>
              <w:right w:w="90" w:type="dxa"/>
            </w:tcMar>
            <w:vAlign w:val="center"/>
          </w:tcPr>
          <w:p w14:paraId="132D0493"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Systematic review of 151 references; conceptual SWM4.0 framework synthesis</w:t>
            </w:r>
          </w:p>
        </w:tc>
        <w:tc>
          <w:tcPr>
            <w:tcW w:w="1800" w:type="dxa"/>
            <w:tcMar>
              <w:top w:w="70" w:type="dxa"/>
              <w:left w:w="90" w:type="dxa"/>
              <w:bottom w:w="70" w:type="dxa"/>
              <w:right w:w="90" w:type="dxa"/>
            </w:tcMar>
            <w:vAlign w:val="center"/>
          </w:tcPr>
          <w:p w14:paraId="4115480E"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Review-based; no dataset</w:t>
            </w:r>
          </w:p>
        </w:tc>
        <w:tc>
          <w:tcPr>
            <w:tcW w:w="2200" w:type="dxa"/>
            <w:tcMar>
              <w:top w:w="70" w:type="dxa"/>
              <w:left w:w="90" w:type="dxa"/>
              <w:bottom w:w="70" w:type="dxa"/>
              <w:right w:w="90" w:type="dxa"/>
            </w:tcMar>
            <w:vAlign w:val="center"/>
          </w:tcPr>
          <w:p w14:paraId="687A13F4"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I4.0 (IoT/AI/blockchain/big data) improves tracking, sorting, e-waste recycling</w:t>
            </w:r>
          </w:p>
        </w:tc>
        <w:tc>
          <w:tcPr>
            <w:tcW w:w="1950" w:type="dxa"/>
            <w:tcMar>
              <w:top w:w="70" w:type="dxa"/>
              <w:left w:w="90" w:type="dxa"/>
              <w:bottom w:w="70" w:type="dxa"/>
              <w:right w:w="90" w:type="dxa"/>
            </w:tcMar>
            <w:vAlign w:val="center"/>
          </w:tcPr>
          <w:p w14:paraId="2E5C73CC"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Framework is conceptual; no empirical/pilot validation</w:t>
            </w:r>
          </w:p>
        </w:tc>
        <w:tc>
          <w:tcPr>
            <w:tcW w:w="1700" w:type="dxa"/>
            <w:tcMar>
              <w:top w:w="70" w:type="dxa"/>
              <w:left w:w="90" w:type="dxa"/>
              <w:bottom w:w="70" w:type="dxa"/>
              <w:right w:w="90" w:type="dxa"/>
            </w:tcMar>
            <w:vAlign w:val="center"/>
          </w:tcPr>
          <w:p w14:paraId="2BD33220"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Framework not tested against a real deployment or KPIs</w:t>
            </w:r>
          </w:p>
        </w:tc>
      </w:tr>
      <w:tr w:rsidR="0069087D" w:rsidRPr="000D786F" w14:paraId="71BDB419" w14:textId="77777777">
        <w:tblPrEx>
          <w:tblCellMar>
            <w:top w:w="0" w:type="dxa"/>
            <w:bottom w:w="0" w:type="dxa"/>
          </w:tblCellMar>
        </w:tblPrEx>
        <w:tc>
          <w:tcPr>
            <w:tcW w:w="1650" w:type="dxa"/>
            <w:shd w:val="clear" w:color="auto" w:fill="F2F7FB"/>
            <w:tcMar>
              <w:top w:w="70" w:type="dxa"/>
              <w:left w:w="90" w:type="dxa"/>
              <w:bottom w:w="70" w:type="dxa"/>
              <w:right w:w="90" w:type="dxa"/>
            </w:tcMar>
            <w:vAlign w:val="center"/>
          </w:tcPr>
          <w:p w14:paraId="308B67DF"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Addas et al. (2024)</w:t>
            </w:r>
          </w:p>
        </w:tc>
        <w:tc>
          <w:tcPr>
            <w:tcW w:w="2000" w:type="dxa"/>
            <w:shd w:val="clear" w:color="auto" w:fill="F2F7FB"/>
            <w:tcMar>
              <w:top w:w="70" w:type="dxa"/>
              <w:left w:w="90" w:type="dxa"/>
              <w:bottom w:w="70" w:type="dxa"/>
              <w:right w:w="90" w:type="dxa"/>
            </w:tcMar>
            <w:vAlign w:val="center"/>
          </w:tcPr>
          <w:p w14:paraId="6F1CA01D"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End-to-end IoT + analytics system for city-scale waste collection</w:t>
            </w:r>
          </w:p>
        </w:tc>
        <w:tc>
          <w:tcPr>
            <w:tcW w:w="2150" w:type="dxa"/>
            <w:shd w:val="clear" w:color="auto" w:fill="F2F7FB"/>
            <w:tcMar>
              <w:top w:w="70" w:type="dxa"/>
              <w:left w:w="90" w:type="dxa"/>
              <w:bottom w:w="70" w:type="dxa"/>
              <w:right w:w="90" w:type="dxa"/>
            </w:tcMar>
            <w:vAlign w:val="center"/>
          </w:tcPr>
          <w:p w14:paraId="38376B07"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Ultrasonic sensors + LoRaWAN/cellular + cloud analytics + dynamic routing; 10-site pilot in Lahore</w:t>
            </w:r>
          </w:p>
        </w:tc>
        <w:tc>
          <w:tcPr>
            <w:tcW w:w="1800" w:type="dxa"/>
            <w:shd w:val="clear" w:color="auto" w:fill="F2F7FB"/>
            <w:tcMar>
              <w:top w:w="70" w:type="dxa"/>
              <w:left w:w="90" w:type="dxa"/>
              <w:bottom w:w="70" w:type="dxa"/>
              <w:right w:w="90" w:type="dxa"/>
            </w:tcMar>
            <w:vAlign w:val="center"/>
          </w:tcPr>
          <w:p w14:paraId="4111B400"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200M+ real sensor readings; ultrasonic fill sensors, cloud platform</w:t>
            </w:r>
          </w:p>
        </w:tc>
        <w:tc>
          <w:tcPr>
            <w:tcW w:w="2200" w:type="dxa"/>
            <w:shd w:val="clear" w:color="auto" w:fill="F2F7FB"/>
            <w:tcMar>
              <w:top w:w="70" w:type="dxa"/>
              <w:left w:w="90" w:type="dxa"/>
              <w:bottom w:w="70" w:type="dxa"/>
              <w:right w:w="90" w:type="dxa"/>
            </w:tcMar>
            <w:vAlign w:val="center"/>
          </w:tcPr>
          <w:p w14:paraId="5F333047"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32% routing efficiency gain, 29% less fuel/emissions, 33% more throughput</w:t>
            </w:r>
          </w:p>
        </w:tc>
        <w:tc>
          <w:tcPr>
            <w:tcW w:w="1950" w:type="dxa"/>
            <w:shd w:val="clear" w:color="auto" w:fill="F2F7FB"/>
            <w:tcMar>
              <w:top w:w="70" w:type="dxa"/>
              <w:left w:w="90" w:type="dxa"/>
              <w:bottom w:w="70" w:type="dxa"/>
              <w:right w:w="90" w:type="dxa"/>
            </w:tcMar>
            <w:vAlign w:val="center"/>
          </w:tcPr>
          <w:p w14:paraId="49CFEA2F"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Single-city pilot (Lahore); generalisability to other climates/densities unproven</w:t>
            </w:r>
          </w:p>
        </w:tc>
        <w:tc>
          <w:tcPr>
            <w:tcW w:w="1700" w:type="dxa"/>
            <w:shd w:val="clear" w:color="auto" w:fill="F2F7FB"/>
            <w:tcMar>
              <w:top w:w="70" w:type="dxa"/>
              <w:left w:w="90" w:type="dxa"/>
              <w:bottom w:w="70" w:type="dxa"/>
              <w:right w:w="90" w:type="dxa"/>
            </w:tcMar>
            <w:vAlign w:val="center"/>
          </w:tcPr>
          <w:p w14:paraId="4857F779"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Citywide, multi-region scale-up and cross-city generalisation untested</w:t>
            </w:r>
          </w:p>
        </w:tc>
      </w:tr>
      <w:tr w:rsidR="0069087D" w:rsidRPr="000D786F" w14:paraId="529C0A4F" w14:textId="77777777">
        <w:tblPrEx>
          <w:tblCellMar>
            <w:top w:w="0" w:type="dxa"/>
            <w:bottom w:w="0" w:type="dxa"/>
          </w:tblCellMar>
        </w:tblPrEx>
        <w:tc>
          <w:tcPr>
            <w:tcW w:w="1650" w:type="dxa"/>
            <w:tcMar>
              <w:top w:w="70" w:type="dxa"/>
              <w:left w:w="90" w:type="dxa"/>
              <w:bottom w:w="70" w:type="dxa"/>
              <w:right w:w="90" w:type="dxa"/>
            </w:tcMar>
            <w:vAlign w:val="center"/>
          </w:tcPr>
          <w:p w14:paraId="15B30671"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Zoumpoulis et al. (2024)</w:t>
            </w:r>
          </w:p>
        </w:tc>
        <w:tc>
          <w:tcPr>
            <w:tcW w:w="2000" w:type="dxa"/>
            <w:tcMar>
              <w:top w:w="70" w:type="dxa"/>
              <w:left w:w="90" w:type="dxa"/>
              <w:bottom w:w="70" w:type="dxa"/>
              <w:right w:w="90" w:type="dxa"/>
            </w:tcMar>
            <w:vAlign w:val="center"/>
          </w:tcPr>
          <w:p w14:paraId="100ACB23"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Role of smart bins in resource recovery for sustainable cities</w:t>
            </w:r>
          </w:p>
        </w:tc>
        <w:tc>
          <w:tcPr>
            <w:tcW w:w="2150" w:type="dxa"/>
            <w:tcMar>
              <w:top w:w="70" w:type="dxa"/>
              <w:left w:w="90" w:type="dxa"/>
              <w:bottom w:w="70" w:type="dxa"/>
              <w:right w:w="90" w:type="dxa"/>
            </w:tcMar>
            <w:vAlign w:val="center"/>
          </w:tcPr>
          <w:p w14:paraId="091FA608"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Systematic literature review of smart-bin sensor/design implementations</w:t>
            </w:r>
          </w:p>
        </w:tc>
        <w:tc>
          <w:tcPr>
            <w:tcW w:w="1800" w:type="dxa"/>
            <w:tcMar>
              <w:top w:w="70" w:type="dxa"/>
              <w:left w:w="90" w:type="dxa"/>
              <w:bottom w:w="70" w:type="dxa"/>
              <w:right w:w="90" w:type="dxa"/>
            </w:tcMar>
            <w:vAlign w:val="center"/>
          </w:tcPr>
          <w:p w14:paraId="1E3129BF"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Review-based; secondary sources across regions</w:t>
            </w:r>
          </w:p>
        </w:tc>
        <w:tc>
          <w:tcPr>
            <w:tcW w:w="2200" w:type="dxa"/>
            <w:tcMar>
              <w:top w:w="70" w:type="dxa"/>
              <w:left w:w="90" w:type="dxa"/>
              <w:bottom w:w="70" w:type="dxa"/>
              <w:right w:w="90" w:type="dxa"/>
            </w:tcMar>
            <w:vAlign w:val="center"/>
          </w:tcPr>
          <w:p w14:paraId="5F1B37A3"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Smart bins raise recyclable recovery, cut collection of under-filled bins</w:t>
            </w:r>
          </w:p>
        </w:tc>
        <w:tc>
          <w:tcPr>
            <w:tcW w:w="1950" w:type="dxa"/>
            <w:tcMar>
              <w:top w:w="70" w:type="dxa"/>
              <w:left w:w="90" w:type="dxa"/>
              <w:bottom w:w="70" w:type="dxa"/>
              <w:right w:w="90" w:type="dxa"/>
            </w:tcMar>
            <w:vAlign w:val="center"/>
          </w:tcPr>
          <w:p w14:paraId="32324B59"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Wide variation in reported metrics; limited cost-benefit reporting</w:t>
            </w:r>
          </w:p>
        </w:tc>
        <w:tc>
          <w:tcPr>
            <w:tcW w:w="1700" w:type="dxa"/>
            <w:tcMar>
              <w:top w:w="70" w:type="dxa"/>
              <w:left w:w="90" w:type="dxa"/>
              <w:bottom w:w="70" w:type="dxa"/>
              <w:right w:w="90" w:type="dxa"/>
            </w:tcMar>
            <w:vAlign w:val="center"/>
          </w:tcPr>
          <w:p w14:paraId="4E8154B9"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Little standardised cost-benefit or ROI analysis of smart-bin adoption</w:t>
            </w:r>
          </w:p>
        </w:tc>
      </w:tr>
      <w:tr w:rsidR="0069087D" w:rsidRPr="000D786F" w14:paraId="5F22C957" w14:textId="77777777">
        <w:tblPrEx>
          <w:tblCellMar>
            <w:top w:w="0" w:type="dxa"/>
            <w:bottom w:w="0" w:type="dxa"/>
          </w:tblCellMar>
        </w:tblPrEx>
        <w:tc>
          <w:tcPr>
            <w:tcW w:w="1650" w:type="dxa"/>
            <w:shd w:val="clear" w:color="auto" w:fill="F2F7FB"/>
            <w:tcMar>
              <w:top w:w="70" w:type="dxa"/>
              <w:left w:w="90" w:type="dxa"/>
              <w:bottom w:w="70" w:type="dxa"/>
              <w:right w:w="90" w:type="dxa"/>
            </w:tcMar>
            <w:vAlign w:val="center"/>
          </w:tcPr>
          <w:p w14:paraId="47444F04"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Idrissi et al. (2024)</w:t>
            </w:r>
          </w:p>
        </w:tc>
        <w:tc>
          <w:tcPr>
            <w:tcW w:w="2000" w:type="dxa"/>
            <w:shd w:val="clear" w:color="auto" w:fill="F2F7FB"/>
            <w:tcMar>
              <w:top w:w="70" w:type="dxa"/>
              <w:left w:w="90" w:type="dxa"/>
              <w:bottom w:w="70" w:type="dxa"/>
              <w:right w:w="90" w:type="dxa"/>
            </w:tcMar>
            <w:vAlign w:val="center"/>
          </w:tcPr>
          <w:p w14:paraId="22982FE3"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Optimising municipal collection routes for a specific city</w:t>
            </w:r>
          </w:p>
        </w:tc>
        <w:tc>
          <w:tcPr>
            <w:tcW w:w="2150" w:type="dxa"/>
            <w:shd w:val="clear" w:color="auto" w:fill="F2F7FB"/>
            <w:tcMar>
              <w:top w:w="70" w:type="dxa"/>
              <w:left w:w="90" w:type="dxa"/>
              <w:bottom w:w="70" w:type="dxa"/>
              <w:right w:w="90" w:type="dxa"/>
            </w:tcMar>
            <w:vAlign w:val="center"/>
          </w:tcPr>
          <w:p w14:paraId="4371CC5D"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Vehicle Routing Problem (VRP) formulation on Casablanca zone/road data</w:t>
            </w:r>
          </w:p>
        </w:tc>
        <w:tc>
          <w:tcPr>
            <w:tcW w:w="1800" w:type="dxa"/>
            <w:shd w:val="clear" w:color="auto" w:fill="F2F7FB"/>
            <w:tcMar>
              <w:top w:w="70" w:type="dxa"/>
              <w:left w:w="90" w:type="dxa"/>
              <w:bottom w:w="70" w:type="dxa"/>
              <w:right w:w="90" w:type="dxa"/>
            </w:tcMar>
            <w:vAlign w:val="center"/>
          </w:tcPr>
          <w:p w14:paraId="7FB9EEC3"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Municipal zone/geographic data; VRP solver/heuristic</w:t>
            </w:r>
          </w:p>
        </w:tc>
        <w:tc>
          <w:tcPr>
            <w:tcW w:w="2200" w:type="dxa"/>
            <w:shd w:val="clear" w:color="auto" w:fill="F2F7FB"/>
            <w:tcMar>
              <w:top w:w="70" w:type="dxa"/>
              <w:left w:w="90" w:type="dxa"/>
              <w:bottom w:w="70" w:type="dxa"/>
              <w:right w:w="90" w:type="dxa"/>
            </w:tcMar>
            <w:vAlign w:val="center"/>
          </w:tcPr>
          <w:p w14:paraId="1B09AD06"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Optimised routes cut travel distance/time vs. existing manual routing</w:t>
            </w:r>
          </w:p>
        </w:tc>
        <w:tc>
          <w:tcPr>
            <w:tcW w:w="1950" w:type="dxa"/>
            <w:shd w:val="clear" w:color="auto" w:fill="F2F7FB"/>
            <w:tcMar>
              <w:top w:w="70" w:type="dxa"/>
              <w:left w:w="90" w:type="dxa"/>
              <w:bottom w:w="70" w:type="dxa"/>
              <w:right w:w="90" w:type="dxa"/>
            </w:tcMar>
            <w:vAlign w:val="center"/>
          </w:tcPr>
          <w:p w14:paraId="5D3F6E29"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Static demand estimates; no real-time bin-fill data used</w:t>
            </w:r>
          </w:p>
        </w:tc>
        <w:tc>
          <w:tcPr>
            <w:tcW w:w="1700" w:type="dxa"/>
            <w:shd w:val="clear" w:color="auto" w:fill="F2F7FB"/>
            <w:tcMar>
              <w:top w:w="70" w:type="dxa"/>
              <w:left w:w="90" w:type="dxa"/>
              <w:bottom w:w="70" w:type="dxa"/>
              <w:right w:w="90" w:type="dxa"/>
            </w:tcMar>
            <w:vAlign w:val="center"/>
          </w:tcPr>
          <w:p w14:paraId="6571F076"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VRP not combined with live IoT fill-level data for dynamic re-optimisation</w:t>
            </w:r>
          </w:p>
        </w:tc>
      </w:tr>
      <w:tr w:rsidR="0069087D" w:rsidRPr="000D786F" w14:paraId="5135ED60" w14:textId="77777777">
        <w:tblPrEx>
          <w:tblCellMar>
            <w:top w:w="0" w:type="dxa"/>
            <w:bottom w:w="0" w:type="dxa"/>
          </w:tblCellMar>
        </w:tblPrEx>
        <w:tc>
          <w:tcPr>
            <w:tcW w:w="1650" w:type="dxa"/>
            <w:tcMar>
              <w:top w:w="70" w:type="dxa"/>
              <w:left w:w="90" w:type="dxa"/>
              <w:bottom w:w="70" w:type="dxa"/>
              <w:right w:w="90" w:type="dxa"/>
            </w:tcMar>
            <w:vAlign w:val="center"/>
          </w:tcPr>
          <w:p w14:paraId="5492ECB7"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Martikkala et al. (2023)</w:t>
            </w:r>
          </w:p>
        </w:tc>
        <w:tc>
          <w:tcPr>
            <w:tcW w:w="2000" w:type="dxa"/>
            <w:tcMar>
              <w:top w:w="70" w:type="dxa"/>
              <w:left w:w="90" w:type="dxa"/>
              <w:bottom w:w="70" w:type="dxa"/>
              <w:right w:w="90" w:type="dxa"/>
            </w:tcMar>
            <w:vAlign w:val="center"/>
          </w:tcPr>
          <w:p w14:paraId="239007B7"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Reducing unnecessary trips in textile-waste collection</w:t>
            </w:r>
          </w:p>
        </w:tc>
        <w:tc>
          <w:tcPr>
            <w:tcW w:w="2150" w:type="dxa"/>
            <w:tcMar>
              <w:top w:w="70" w:type="dxa"/>
              <w:left w:w="90" w:type="dxa"/>
              <w:bottom w:w="70" w:type="dxa"/>
              <w:right w:w="90" w:type="dxa"/>
            </w:tcMar>
            <w:vAlign w:val="center"/>
          </w:tcPr>
          <w:p w14:paraId="6784CC26"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IoT fill-sensors on textile containers feeding a dynamic routing algorithm</w:t>
            </w:r>
          </w:p>
        </w:tc>
        <w:tc>
          <w:tcPr>
            <w:tcW w:w="1800" w:type="dxa"/>
            <w:tcMar>
              <w:top w:w="70" w:type="dxa"/>
              <w:left w:w="90" w:type="dxa"/>
              <w:bottom w:w="70" w:type="dxa"/>
              <w:right w:w="90" w:type="dxa"/>
            </w:tcMar>
            <w:vAlign w:val="center"/>
          </w:tcPr>
          <w:p w14:paraId="6C98B162"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IoT fill-level sensors; municipal textile-collection network case</w:t>
            </w:r>
          </w:p>
        </w:tc>
        <w:tc>
          <w:tcPr>
            <w:tcW w:w="2200" w:type="dxa"/>
            <w:tcMar>
              <w:top w:w="70" w:type="dxa"/>
              <w:left w:w="90" w:type="dxa"/>
              <w:bottom w:w="70" w:type="dxa"/>
              <w:right w:w="90" w:type="dxa"/>
            </w:tcMar>
            <w:vAlign w:val="center"/>
          </w:tcPr>
          <w:p w14:paraId="38D9E5CD"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Dynamic routing cuts unnecessary trips vs. fixed-interval collection</w:t>
            </w:r>
          </w:p>
        </w:tc>
        <w:tc>
          <w:tcPr>
            <w:tcW w:w="1950" w:type="dxa"/>
            <w:tcMar>
              <w:top w:w="70" w:type="dxa"/>
              <w:left w:w="90" w:type="dxa"/>
              <w:bottom w:w="70" w:type="dxa"/>
              <w:right w:w="90" w:type="dxa"/>
            </w:tcMar>
            <w:vAlign w:val="center"/>
          </w:tcPr>
          <w:p w14:paraId="1A51C437"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Specific to textile waste; fill-rate behaviour differs from general MSW</w:t>
            </w:r>
          </w:p>
        </w:tc>
        <w:tc>
          <w:tcPr>
            <w:tcW w:w="1700" w:type="dxa"/>
            <w:tcMar>
              <w:top w:w="70" w:type="dxa"/>
              <w:left w:w="90" w:type="dxa"/>
              <w:bottom w:w="70" w:type="dxa"/>
              <w:right w:w="90" w:type="dxa"/>
            </w:tcMar>
            <w:vAlign w:val="center"/>
          </w:tcPr>
          <w:p w14:paraId="4DE1242F"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Findings not shown to generalise to mixed municipal solid waste streams</w:t>
            </w:r>
          </w:p>
        </w:tc>
      </w:tr>
      <w:tr w:rsidR="0069087D" w:rsidRPr="000D786F" w14:paraId="427982B9" w14:textId="77777777">
        <w:tblPrEx>
          <w:tblCellMar>
            <w:top w:w="0" w:type="dxa"/>
            <w:bottom w:w="0" w:type="dxa"/>
          </w:tblCellMar>
        </w:tblPrEx>
        <w:tc>
          <w:tcPr>
            <w:tcW w:w="1650" w:type="dxa"/>
            <w:shd w:val="clear" w:color="auto" w:fill="F2F7FB"/>
            <w:tcMar>
              <w:top w:w="70" w:type="dxa"/>
              <w:left w:w="90" w:type="dxa"/>
              <w:bottom w:w="70" w:type="dxa"/>
              <w:right w:w="90" w:type="dxa"/>
            </w:tcMar>
            <w:vAlign w:val="center"/>
          </w:tcPr>
          <w:p w14:paraId="1CE04E99"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Olawade et al. (2024)</w:t>
            </w:r>
          </w:p>
        </w:tc>
        <w:tc>
          <w:tcPr>
            <w:tcW w:w="2000" w:type="dxa"/>
            <w:shd w:val="clear" w:color="auto" w:fill="F2F7FB"/>
            <w:tcMar>
              <w:top w:w="70" w:type="dxa"/>
              <w:left w:w="90" w:type="dxa"/>
              <w:bottom w:w="70" w:type="dxa"/>
              <w:right w:w="90" w:type="dxa"/>
            </w:tcMar>
            <w:vAlign w:val="center"/>
          </w:tcPr>
          <w:p w14:paraId="64340B70"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How AI extends IoT-based waste management capability</w:t>
            </w:r>
          </w:p>
        </w:tc>
        <w:tc>
          <w:tcPr>
            <w:tcW w:w="2150" w:type="dxa"/>
            <w:shd w:val="clear" w:color="auto" w:fill="F2F7FB"/>
            <w:tcMar>
              <w:top w:w="70" w:type="dxa"/>
              <w:left w:w="90" w:type="dxa"/>
              <w:bottom w:w="70" w:type="dxa"/>
              <w:right w:w="90" w:type="dxa"/>
            </w:tcMar>
            <w:vAlign w:val="center"/>
          </w:tcPr>
          <w:p w14:paraId="3BA7A8F2"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Narrative review of ML/computer-</w:t>
            </w:r>
            <w:r w:rsidRPr="000D786F">
              <w:rPr>
                <w:rFonts w:ascii="Times New Roman" w:hAnsi="Times New Roman" w:cs="Times New Roman"/>
                <w:color w:val="222222"/>
                <w:sz w:val="18"/>
                <w:szCs w:val="18"/>
              </w:rPr>
              <w:lastRenderedPageBreak/>
              <w:t>vision/predictive-analytics applications</w:t>
            </w:r>
          </w:p>
        </w:tc>
        <w:tc>
          <w:tcPr>
            <w:tcW w:w="1800" w:type="dxa"/>
            <w:shd w:val="clear" w:color="auto" w:fill="F2F7FB"/>
            <w:tcMar>
              <w:top w:w="70" w:type="dxa"/>
              <w:left w:w="90" w:type="dxa"/>
              <w:bottom w:w="70" w:type="dxa"/>
              <w:right w:w="90" w:type="dxa"/>
            </w:tcMar>
            <w:vAlign w:val="center"/>
          </w:tcPr>
          <w:p w14:paraId="2A091CEA"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lastRenderedPageBreak/>
              <w:t>Review-based; covers AI methods reported in surveyed studies</w:t>
            </w:r>
          </w:p>
        </w:tc>
        <w:tc>
          <w:tcPr>
            <w:tcW w:w="2200" w:type="dxa"/>
            <w:shd w:val="clear" w:color="auto" w:fill="F2F7FB"/>
            <w:tcMar>
              <w:top w:w="70" w:type="dxa"/>
              <w:left w:w="90" w:type="dxa"/>
              <w:bottom w:w="70" w:type="dxa"/>
              <w:right w:w="90" w:type="dxa"/>
            </w:tcMar>
            <w:vAlign w:val="center"/>
          </w:tcPr>
          <w:p w14:paraId="3AA6FE0C"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t xml:space="preserve">AI improves waste classification, overflow </w:t>
            </w:r>
            <w:r w:rsidRPr="000D786F">
              <w:rPr>
                <w:rFonts w:ascii="Times New Roman" w:hAnsi="Times New Roman" w:cs="Times New Roman"/>
                <w:color w:val="222222"/>
                <w:sz w:val="18"/>
                <w:szCs w:val="18"/>
              </w:rPr>
              <w:lastRenderedPageBreak/>
              <w:t>prediction, and route planning</w:t>
            </w:r>
          </w:p>
        </w:tc>
        <w:tc>
          <w:tcPr>
            <w:tcW w:w="1950" w:type="dxa"/>
            <w:shd w:val="clear" w:color="auto" w:fill="F2F7FB"/>
            <w:tcMar>
              <w:top w:w="70" w:type="dxa"/>
              <w:left w:w="90" w:type="dxa"/>
              <w:bottom w:w="70" w:type="dxa"/>
              <w:right w:w="90" w:type="dxa"/>
            </w:tcMar>
            <w:vAlign w:val="center"/>
          </w:tcPr>
          <w:p w14:paraId="336CDF50"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lastRenderedPageBreak/>
              <w:t xml:space="preserve">No new empirical results; most reviewed </w:t>
            </w:r>
            <w:r w:rsidRPr="000D786F">
              <w:rPr>
                <w:rFonts w:ascii="Times New Roman" w:hAnsi="Times New Roman" w:cs="Times New Roman"/>
                <w:color w:val="222222"/>
                <w:sz w:val="18"/>
                <w:szCs w:val="18"/>
              </w:rPr>
              <w:lastRenderedPageBreak/>
              <w:t>AI systems are prototype-stage</w:t>
            </w:r>
          </w:p>
        </w:tc>
        <w:tc>
          <w:tcPr>
            <w:tcW w:w="1700" w:type="dxa"/>
            <w:shd w:val="clear" w:color="auto" w:fill="F2F7FB"/>
            <w:tcMar>
              <w:top w:w="70" w:type="dxa"/>
              <w:left w:w="90" w:type="dxa"/>
              <w:bottom w:w="70" w:type="dxa"/>
              <w:right w:w="90" w:type="dxa"/>
            </w:tcMar>
            <w:vAlign w:val="center"/>
          </w:tcPr>
          <w:p w14:paraId="72BFC871" w14:textId="77777777" w:rsidR="0069087D" w:rsidRPr="000D786F" w:rsidRDefault="00000000">
            <w:pPr>
              <w:rPr>
                <w:rFonts w:ascii="Times New Roman" w:hAnsi="Times New Roman" w:cs="Times New Roman"/>
              </w:rPr>
            </w:pPr>
            <w:r w:rsidRPr="000D786F">
              <w:rPr>
                <w:rFonts w:ascii="Times New Roman" w:hAnsi="Times New Roman" w:cs="Times New Roman"/>
                <w:color w:val="222222"/>
                <w:sz w:val="18"/>
                <w:szCs w:val="18"/>
              </w:rPr>
              <w:lastRenderedPageBreak/>
              <w:t xml:space="preserve">Few AI-augmented systems have </w:t>
            </w:r>
            <w:r w:rsidRPr="000D786F">
              <w:rPr>
                <w:rFonts w:ascii="Times New Roman" w:hAnsi="Times New Roman" w:cs="Times New Roman"/>
                <w:color w:val="222222"/>
                <w:sz w:val="18"/>
                <w:szCs w:val="18"/>
              </w:rPr>
              <w:lastRenderedPageBreak/>
              <w:t>reached full production</w:t>
            </w:r>
          </w:p>
        </w:tc>
      </w:tr>
    </w:tbl>
    <w:p w14:paraId="4A98CDCC" w14:textId="77777777" w:rsidR="0069087D" w:rsidRPr="000D786F" w:rsidRDefault="0069087D">
      <w:pPr>
        <w:rPr>
          <w:rFonts w:ascii="Times New Roman" w:hAnsi="Times New Roman" w:cs="Times New Roman"/>
        </w:rPr>
        <w:sectPr w:rsidR="0069087D" w:rsidRPr="000D786F">
          <w:headerReference w:type="default" r:id="rId9"/>
          <w:footerReference w:type="default" r:id="rId10"/>
          <w:pgSz w:w="15840" w:h="12240" w:orient="landscape"/>
          <w:pgMar w:top="900" w:right="600" w:bottom="900" w:left="600" w:header="708" w:footer="708" w:gutter="0"/>
          <w:cols w:space="720"/>
          <w:docGrid w:linePitch="360"/>
        </w:sectPr>
      </w:pPr>
    </w:p>
    <w:p w14:paraId="631BD5BC" w14:textId="77777777" w:rsidR="0069087D" w:rsidRPr="000D786F" w:rsidRDefault="00000000">
      <w:pPr>
        <w:pStyle w:val="Heading1"/>
        <w:pBdr>
          <w:bottom w:val="single" w:sz="6" w:space="4" w:color="1F4E79"/>
        </w:pBdr>
        <w:spacing w:before="280" w:after="140"/>
        <w:rPr>
          <w:rFonts w:ascii="Times New Roman" w:hAnsi="Times New Roman" w:cs="Times New Roman"/>
        </w:rPr>
      </w:pPr>
      <w:r w:rsidRPr="000D786F">
        <w:rPr>
          <w:rFonts w:ascii="Times New Roman" w:hAnsi="Times New Roman" w:cs="Times New Roman"/>
          <w:b/>
          <w:bCs/>
          <w:color w:val="1F4E79"/>
          <w:sz w:val="30"/>
          <w:szCs w:val="30"/>
        </w:rPr>
        <w:lastRenderedPageBreak/>
        <w:t>5. Limitations and Challenges of Existing Approaches</w:t>
      </w:r>
    </w:p>
    <w:p w14:paraId="3DE38A34"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Validation scope: most systems are validated only in simulation (Ali et al., 2024) or a single-city pilot (Addas et al., 2024; Idrissi et al., 2024), leaving citywide, multi-region performance largely untested.</w:t>
      </w:r>
    </w:p>
    <w:p w14:paraId="5D39BEDC"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Fragmented scope: individual studies typically address one piece of the problem — sensing (Zoumpoulis et al., 2024), routing (Idrissi et al., 2024; Martikkala et al., 2023), or AI review (Olawade et al., 2024) — rather than an integrated sensing-to-routing-to-notification pipeline.</w:t>
      </w:r>
    </w:p>
    <w:p w14:paraId="0B5BF330"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Inconsistent metrics: systematic reviews (Alaoui et al., 2025; Kannan et al., 2024) note that reported outcomes use different, non-standardised metrics, which makes rigorous cross-study comparison difficult.</w:t>
      </w:r>
    </w:p>
    <w:p w14:paraId="618D362D"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Static demand assumptions: several routing studies (Idrissi et al., 2024) optimise against static or historical demand rather than live sensor-driven urgency, limiting responsiveness to sudden overflow events.</w:t>
      </w:r>
    </w:p>
    <w:p w14:paraId="01644FF7"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Maturity gap: AI-augmented methods (Olawade et al., 2024) remain largely at prototype or pilot stage, with limited evidence on production concerns such as security, reliability, and long-term maintainability.</w:t>
      </w:r>
    </w:p>
    <w:p w14:paraId="005C74A0"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Domain specificity: waste-stream-specific systems, such as textile collection (Martikkala et al., 2023), report gains that may not transfer directly to general municipal solid waste with different fill-rate behaviour.</w:t>
      </w:r>
    </w:p>
    <w:p w14:paraId="75F2D2F3" w14:textId="77777777" w:rsidR="0069087D" w:rsidRPr="000D786F" w:rsidRDefault="00000000">
      <w:pPr>
        <w:pStyle w:val="Heading1"/>
        <w:pBdr>
          <w:bottom w:val="single" w:sz="6" w:space="4" w:color="1F4E79"/>
        </w:pBdr>
        <w:spacing w:before="280" w:after="140"/>
        <w:rPr>
          <w:rFonts w:ascii="Times New Roman" w:hAnsi="Times New Roman" w:cs="Times New Roman"/>
        </w:rPr>
      </w:pPr>
      <w:r w:rsidRPr="000D786F">
        <w:rPr>
          <w:rFonts w:ascii="Times New Roman" w:hAnsi="Times New Roman" w:cs="Times New Roman"/>
          <w:b/>
          <w:bCs/>
          <w:color w:val="1F4E79"/>
          <w:sz w:val="30"/>
          <w:szCs w:val="30"/>
        </w:rPr>
        <w:t>6. Research Gap Analysis</w:t>
      </w:r>
    </w:p>
    <w:p w14:paraId="7F939BC9"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Synthesising the eight papers against the assigned problem statement reveals four concrete gaps that the Smart Waste Collection and Route Optimization Platform is positioned to address:</w:t>
      </w:r>
    </w:p>
    <w:p w14:paraId="5CCC6AEC"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Gap 1 — Integrated pipeline: no reviewed study combines real-time IoT fill/GPS/environmental sensing, AI-driven dynamic route optimisation, and predictive overflow forecasting into a single, continuously operating platform; each is typically studied in isolation.</w:t>
      </w:r>
    </w:p>
    <w:p w14:paraId="292ED825"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Gap 2 — Dynamic, sensor-driven routing at scale: routing studies (Ali et al., 2024; Idrissi et al., 2024) optimise against simulated or static demand rather than live urgency signals from thousands of connected bins, leaving dynamic re-optimisation under real IoT load largely unvalidated.</w:t>
      </w:r>
    </w:p>
    <w:p w14:paraId="0526D950"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Gap 3 — Standardised evaluation: the absence of a common metric set across studies (Alaoui et al., 2025; Kannan et al., 2024; Zoumpoulis et al., 2024) makes it hard to judge whether a new platform's reported gains are comparable to prior work.</w:t>
      </w:r>
    </w:p>
    <w:p w14:paraId="3E6B8BAF"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Gap 4 — Production readiness: reviewed AI-augmented systems (Olawade et al., 2024) rarely report on security, reliability, or multi-year maintainability, all of which are essential for a platform intended for long-term municipal deployment.</w:t>
      </w:r>
    </w:p>
    <w:p w14:paraId="3EDA8633" w14:textId="77777777" w:rsidR="0069087D" w:rsidRPr="000D786F" w:rsidRDefault="00000000">
      <w:pPr>
        <w:pStyle w:val="Heading1"/>
        <w:pBdr>
          <w:bottom w:val="single" w:sz="6" w:space="4" w:color="1F4E79"/>
        </w:pBdr>
        <w:spacing w:before="280" w:after="140"/>
        <w:rPr>
          <w:rFonts w:ascii="Times New Roman" w:hAnsi="Times New Roman" w:cs="Times New Roman"/>
        </w:rPr>
      </w:pPr>
      <w:r w:rsidRPr="000D786F">
        <w:rPr>
          <w:rFonts w:ascii="Times New Roman" w:hAnsi="Times New Roman" w:cs="Times New Roman"/>
          <w:b/>
          <w:bCs/>
          <w:color w:val="1F4E79"/>
          <w:sz w:val="30"/>
          <w:szCs w:val="30"/>
        </w:rPr>
        <w:t>7. Future Research Directions</w:t>
      </w:r>
    </w:p>
    <w:p w14:paraId="605B3342"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Design and evaluate a single integrated architecture that combines live IoT telemetry, AI-driven dynamic vehicle routing, and predictive overflow forecasting, rather than studying these components in isolation.</w:t>
      </w:r>
    </w:p>
    <w:p w14:paraId="25CA57ED"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Conduct multi-city pilot studies across varying urban densities and climates to test whether gains reported in single-city pilots (e.g., Addas et al., 2024) generalise elsewhere.</w:t>
      </w:r>
    </w:p>
    <w:p w14:paraId="5E9BD69E"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lastRenderedPageBreak/>
        <w:t>Develop standardised benchmark datasets and evaluation metrics for smart waste systems, enabling fair comparison of routing efficiency, fuel savings, and overflow reduction across studies.</w:t>
      </w:r>
    </w:p>
    <w:p w14:paraId="1B855C18"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Extend AI-based waste research (Olawade et al., 2024) beyond prototypes toward production-grade engineering — covering security, fault tolerance, and long-term maintainability, consistent with the architecture already proposed in this project's CO2AT2 report.</w:t>
      </w:r>
    </w:p>
    <w:p w14:paraId="662ABF63" w14:textId="77777777" w:rsidR="0069087D" w:rsidRPr="000D786F" w:rsidRDefault="00000000">
      <w:pPr>
        <w:pStyle w:val="ListParagraph"/>
        <w:numPr>
          <w:ilvl w:val="0"/>
          <w:numId w:val="2"/>
        </w:numPr>
        <w:spacing w:after="80" w:line="270" w:lineRule="auto"/>
        <w:rPr>
          <w:rFonts w:ascii="Times New Roman" w:hAnsi="Times New Roman" w:cs="Times New Roman"/>
        </w:rPr>
      </w:pPr>
      <w:r w:rsidRPr="000D786F">
        <w:rPr>
          <w:rFonts w:ascii="Times New Roman" w:hAnsi="Times New Roman" w:cs="Times New Roman"/>
        </w:rPr>
        <w:t>Investigate cost-benefit and ROI models for municipal IoT investment, an area flagged as under-reported by Zoumpoulis et al. (2024), to support real-world adoption decisions.</w:t>
      </w:r>
    </w:p>
    <w:p w14:paraId="10FD1B6C" w14:textId="77777777" w:rsidR="0069087D" w:rsidRPr="000D786F" w:rsidRDefault="00000000">
      <w:pPr>
        <w:pStyle w:val="Heading1"/>
        <w:pBdr>
          <w:bottom w:val="single" w:sz="6" w:space="4" w:color="1F4E79"/>
        </w:pBdr>
        <w:spacing w:before="280" w:after="140"/>
        <w:rPr>
          <w:rFonts w:ascii="Times New Roman" w:hAnsi="Times New Roman" w:cs="Times New Roman"/>
        </w:rPr>
      </w:pPr>
      <w:r w:rsidRPr="000D786F">
        <w:rPr>
          <w:rFonts w:ascii="Times New Roman" w:hAnsi="Times New Roman" w:cs="Times New Roman"/>
          <w:b/>
          <w:bCs/>
          <w:color w:val="1F4E79"/>
          <w:sz w:val="30"/>
          <w:szCs w:val="30"/>
        </w:rPr>
        <w:t>8. Conclusion</w:t>
      </w:r>
    </w:p>
    <w:p w14:paraId="5911CBA2" w14:textId="77777777" w:rsidR="0069087D" w:rsidRPr="000D786F" w:rsidRDefault="00000000">
      <w:pPr>
        <w:spacing w:after="140" w:line="290" w:lineRule="auto"/>
        <w:jc w:val="both"/>
        <w:rPr>
          <w:rFonts w:ascii="Times New Roman" w:hAnsi="Times New Roman" w:cs="Times New Roman"/>
        </w:rPr>
      </w:pPr>
      <w:r w:rsidRPr="000D786F">
        <w:rPr>
          <w:rFonts w:ascii="Times New Roman" w:hAnsi="Times New Roman" w:cs="Times New Roman"/>
        </w:rPr>
        <w:t>This literature survey reviewed eight peer-reviewed papers (2023-2025) directly relevant to the Smart Waste Collection and Route Optimization Platform. The reviewed work confirms that IoT sensing, AI-based prioritisation, and route-optimisation algorithms individually deliver measurable gains — including reported reductions in fuel use, travel distance, and overflow incidents — but also shows that no existing study integrates real-time sensing, dynamic AI routing, and predictive overflow forecasting into one continuously operating, production-ready system validated at citywide scale. These findings directly support the design choices made in this project's earlier SRS (CO2AT1) and architecture report (CO2AT2): a microservices and event-driven platform that unifies bin monitoring, AI route optimisation, and predictive analytics is a concrete response to the integration and production-readiness gaps identified here.</w:t>
      </w:r>
    </w:p>
    <w:p w14:paraId="1ABDF80B" w14:textId="77777777" w:rsidR="0069087D" w:rsidRPr="000D786F" w:rsidRDefault="00000000">
      <w:pPr>
        <w:pStyle w:val="Heading1"/>
        <w:pBdr>
          <w:bottom w:val="single" w:sz="6" w:space="4" w:color="1F4E79"/>
        </w:pBdr>
        <w:spacing w:before="280" w:after="140"/>
        <w:rPr>
          <w:rFonts w:ascii="Times New Roman" w:hAnsi="Times New Roman" w:cs="Times New Roman"/>
        </w:rPr>
      </w:pPr>
      <w:r w:rsidRPr="000D786F">
        <w:rPr>
          <w:rFonts w:ascii="Times New Roman" w:hAnsi="Times New Roman" w:cs="Times New Roman"/>
          <w:b/>
          <w:bCs/>
          <w:color w:val="1F4E79"/>
          <w:sz w:val="30"/>
          <w:szCs w:val="30"/>
        </w:rPr>
        <w:t>9. References</w:t>
      </w:r>
    </w:p>
    <w:p w14:paraId="04E190F2" w14:textId="77777777" w:rsidR="0069087D" w:rsidRPr="000D786F" w:rsidRDefault="00000000">
      <w:pPr>
        <w:spacing w:after="110" w:line="280" w:lineRule="auto"/>
        <w:ind w:left="400" w:hanging="400"/>
        <w:rPr>
          <w:rFonts w:ascii="Times New Roman" w:hAnsi="Times New Roman" w:cs="Times New Roman"/>
        </w:rPr>
      </w:pPr>
      <w:r w:rsidRPr="000D786F">
        <w:rPr>
          <w:rFonts w:ascii="Times New Roman" w:hAnsi="Times New Roman" w:cs="Times New Roman"/>
          <w:sz w:val="21"/>
          <w:szCs w:val="21"/>
        </w:rPr>
        <w:t>[1] Alaoui, M. L. T., Belhiah, M., &amp; Ziti, S. (2025). IoT-Enabled Waste Management in Smart Cities: A Systematic Literature Review. International Journal of Advanced Computer Science and Applications (IJACSA), 16(4).</w:t>
      </w:r>
    </w:p>
    <w:p w14:paraId="5C824A50" w14:textId="77777777" w:rsidR="0069087D" w:rsidRPr="000D786F" w:rsidRDefault="00000000">
      <w:pPr>
        <w:spacing w:after="110" w:line="280" w:lineRule="auto"/>
        <w:ind w:left="400" w:hanging="400"/>
        <w:rPr>
          <w:rFonts w:ascii="Times New Roman" w:hAnsi="Times New Roman" w:cs="Times New Roman"/>
        </w:rPr>
      </w:pPr>
      <w:r w:rsidRPr="000D786F">
        <w:rPr>
          <w:rFonts w:ascii="Times New Roman" w:hAnsi="Times New Roman" w:cs="Times New Roman"/>
          <w:sz w:val="21"/>
          <w:szCs w:val="21"/>
        </w:rPr>
        <w:t>[2] Ali, A., Javed, M. A., Alharbi, A. A. K., Alotaibi, S., &amp; Alkhathami, M. (2024). Internet of Things-Assisted Vehicle Route Optimization for Municipal Solid Waste Collection. Applied Sciences, 14(1), 287.</w:t>
      </w:r>
    </w:p>
    <w:p w14:paraId="0D69B3F6" w14:textId="77777777" w:rsidR="0069087D" w:rsidRPr="000D786F" w:rsidRDefault="00000000">
      <w:pPr>
        <w:spacing w:after="110" w:line="280" w:lineRule="auto"/>
        <w:ind w:left="400" w:hanging="400"/>
        <w:rPr>
          <w:rFonts w:ascii="Times New Roman" w:hAnsi="Times New Roman" w:cs="Times New Roman"/>
        </w:rPr>
      </w:pPr>
      <w:r w:rsidRPr="000D786F">
        <w:rPr>
          <w:rFonts w:ascii="Times New Roman" w:hAnsi="Times New Roman" w:cs="Times New Roman"/>
          <w:sz w:val="21"/>
          <w:szCs w:val="21"/>
        </w:rPr>
        <w:t>[3] Kannan, D., Khademolqorani, S., Janatyan, N., &amp; Alavi, S. (2024). Smart waste management 4.0: The transition from a systematic review to an integrated framework. Waste Management, 174, 1–14.</w:t>
      </w:r>
    </w:p>
    <w:p w14:paraId="2B299020" w14:textId="77777777" w:rsidR="0069087D" w:rsidRPr="000D786F" w:rsidRDefault="00000000">
      <w:pPr>
        <w:spacing w:after="110" w:line="280" w:lineRule="auto"/>
        <w:ind w:left="400" w:hanging="400"/>
        <w:rPr>
          <w:rFonts w:ascii="Times New Roman" w:hAnsi="Times New Roman" w:cs="Times New Roman"/>
        </w:rPr>
      </w:pPr>
      <w:r w:rsidRPr="000D786F">
        <w:rPr>
          <w:rFonts w:ascii="Times New Roman" w:hAnsi="Times New Roman" w:cs="Times New Roman"/>
          <w:sz w:val="21"/>
          <w:szCs w:val="21"/>
        </w:rPr>
        <w:t>[4] Addas, A., Khan, M. N., &amp; Naseer, F. (2024). Waste management 2.0 leveraging internet of things for an efficient and eco-friendly smart city solution. PLOS ONE, 19(7), e0307608.</w:t>
      </w:r>
    </w:p>
    <w:p w14:paraId="748AF875" w14:textId="77777777" w:rsidR="0069087D" w:rsidRPr="000D786F" w:rsidRDefault="00000000">
      <w:pPr>
        <w:spacing w:after="110" w:line="280" w:lineRule="auto"/>
        <w:ind w:left="400" w:hanging="400"/>
        <w:rPr>
          <w:rFonts w:ascii="Times New Roman" w:hAnsi="Times New Roman" w:cs="Times New Roman"/>
        </w:rPr>
      </w:pPr>
      <w:r w:rsidRPr="000D786F">
        <w:rPr>
          <w:rFonts w:ascii="Times New Roman" w:hAnsi="Times New Roman" w:cs="Times New Roman"/>
          <w:sz w:val="21"/>
          <w:szCs w:val="21"/>
        </w:rPr>
        <w:t>[5] Zoumpoulis, P., Konstantinidis, F. K., Tsimiklis, G., &amp; Amditis, A. (2024). Smart bins for enhanced resource recovery and sustainable urban waste practices in smart cities: A systematic literature review. Cities, 152, 105150.</w:t>
      </w:r>
    </w:p>
    <w:p w14:paraId="126AA2BB" w14:textId="77777777" w:rsidR="0069087D" w:rsidRPr="000D786F" w:rsidRDefault="00000000">
      <w:pPr>
        <w:spacing w:after="110" w:line="280" w:lineRule="auto"/>
        <w:ind w:left="400" w:hanging="400"/>
        <w:rPr>
          <w:rFonts w:ascii="Times New Roman" w:hAnsi="Times New Roman" w:cs="Times New Roman"/>
        </w:rPr>
      </w:pPr>
      <w:r w:rsidRPr="000D786F">
        <w:rPr>
          <w:rFonts w:ascii="Times New Roman" w:hAnsi="Times New Roman" w:cs="Times New Roman"/>
          <w:sz w:val="21"/>
          <w:szCs w:val="21"/>
        </w:rPr>
        <w:t>[6] Idrissi, A., Benabbou, R., Benhra, J., &amp; El Haji, M. (2024). Smart Waste Collection Based on Vehicle Routing Optimization: Case of Casablanca City. Procedia Computer Science, 236, 194–201.</w:t>
      </w:r>
    </w:p>
    <w:p w14:paraId="1FF1AE16" w14:textId="77777777" w:rsidR="0069087D" w:rsidRPr="000D786F" w:rsidRDefault="00000000">
      <w:pPr>
        <w:spacing w:after="110" w:line="280" w:lineRule="auto"/>
        <w:ind w:left="400" w:hanging="400"/>
        <w:rPr>
          <w:rFonts w:ascii="Times New Roman" w:hAnsi="Times New Roman" w:cs="Times New Roman"/>
        </w:rPr>
      </w:pPr>
      <w:r w:rsidRPr="000D786F">
        <w:rPr>
          <w:rFonts w:ascii="Times New Roman" w:hAnsi="Times New Roman" w:cs="Times New Roman"/>
          <w:sz w:val="21"/>
          <w:szCs w:val="21"/>
        </w:rPr>
        <w:t>[7] Martikkala, A., Mayanti, B., Helo, P., Lobov, A., &amp; Ituarte, I. F. (2023). Smart textile waste collection system – Dynamic route optimization with IoT. Journal of Environmental Management, 335, 117548.</w:t>
      </w:r>
    </w:p>
    <w:p w14:paraId="15B046C7" w14:textId="77777777" w:rsidR="0069087D" w:rsidRPr="000D786F" w:rsidRDefault="00000000">
      <w:pPr>
        <w:spacing w:after="110" w:line="280" w:lineRule="auto"/>
        <w:ind w:left="400" w:hanging="400"/>
        <w:rPr>
          <w:rFonts w:ascii="Times New Roman" w:hAnsi="Times New Roman" w:cs="Times New Roman"/>
        </w:rPr>
      </w:pPr>
      <w:r w:rsidRPr="000D786F">
        <w:rPr>
          <w:rFonts w:ascii="Times New Roman" w:hAnsi="Times New Roman" w:cs="Times New Roman"/>
          <w:sz w:val="21"/>
          <w:szCs w:val="21"/>
        </w:rPr>
        <w:t>[8] Olawade, D. B., Fapohunda, O., Wada, O. Z., Usman, O., Ige, A. O., Ajisafe, O., &amp; Oladapo, B. I. (2024). Smart waste management: a paradigm shift enabled by artificial intelligence. Waste Management Bulletin, 2(2), 244–263.</w:t>
      </w:r>
    </w:p>
    <w:sectPr w:rsidR="0069087D" w:rsidRPr="000D786F">
      <w:headerReference w:type="default" r:id="rId11"/>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0015" w14:textId="77777777" w:rsidR="00D02C65" w:rsidRDefault="00D02C65">
      <w:r>
        <w:separator/>
      </w:r>
    </w:p>
  </w:endnote>
  <w:endnote w:type="continuationSeparator" w:id="0">
    <w:p w14:paraId="10229ABF" w14:textId="77777777" w:rsidR="00D02C65" w:rsidRDefault="00D02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0C63" w14:textId="77777777" w:rsidR="0069087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D786F">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D786F">
      <w:rPr>
        <w:noProof/>
        <w:color w:val="888888"/>
        <w:sz w:val="18"/>
        <w:szCs w:val="18"/>
      </w:rPr>
      <w:t>3</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894A" w14:textId="13C6B6AC" w:rsidR="0069087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D786F">
      <w:rPr>
        <w:noProof/>
        <w:color w:val="888888"/>
        <w:sz w:val="18"/>
        <w:szCs w:val="18"/>
      </w:rPr>
      <w:t>5</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D786F">
      <w:rPr>
        <w:noProof/>
        <w:color w:val="888888"/>
        <w:sz w:val="18"/>
        <w:szCs w:val="18"/>
      </w:rPr>
      <w:t>6</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99EE" w14:textId="363F0A9D" w:rsidR="0069087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D786F">
      <w:rPr>
        <w:noProof/>
        <w:color w:val="888888"/>
        <w:sz w:val="18"/>
        <w:szCs w:val="18"/>
      </w:rPr>
      <w:t>7</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D786F">
      <w:rPr>
        <w:noProof/>
        <w:color w:val="888888"/>
        <w:sz w:val="18"/>
        <w:szCs w:val="18"/>
      </w:rPr>
      <w:t>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4815D" w14:textId="77777777" w:rsidR="00D02C65" w:rsidRDefault="00D02C65">
      <w:r>
        <w:separator/>
      </w:r>
    </w:p>
  </w:footnote>
  <w:footnote w:type="continuationSeparator" w:id="0">
    <w:p w14:paraId="7D90434A" w14:textId="77777777" w:rsidR="00D02C65" w:rsidRDefault="00D02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DB5D" w14:textId="77777777" w:rsidR="0069087D" w:rsidRDefault="00000000">
    <w:pPr>
      <w:jc w:val="right"/>
    </w:pPr>
    <w:r>
      <w:rPr>
        <w:i/>
        <w:iCs/>
        <w:color w:val="888888"/>
        <w:sz w:val="16"/>
        <w:szCs w:val="16"/>
      </w:rPr>
      <w:t>Smart Waste Collection and Route Optimization Platform — Literature Survey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8B60" w14:textId="77777777" w:rsidR="0069087D" w:rsidRDefault="00000000">
    <w:pPr>
      <w:jc w:val="right"/>
    </w:pPr>
    <w:r>
      <w:rPr>
        <w:i/>
        <w:iCs/>
        <w:color w:val="888888"/>
        <w:sz w:val="16"/>
        <w:szCs w:val="16"/>
      </w:rPr>
      <w:t>Smart Waste Collection and Route Optimization Platform — Literature Survey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2FE4" w14:textId="77777777" w:rsidR="0069087D" w:rsidRDefault="00000000">
    <w:pPr>
      <w:jc w:val="right"/>
    </w:pPr>
    <w:r>
      <w:rPr>
        <w:i/>
        <w:iCs/>
        <w:color w:val="888888"/>
        <w:sz w:val="16"/>
        <w:szCs w:val="16"/>
      </w:rPr>
      <w:t>Smart Waste Collection and Route Optimization Platform — Literature Survey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135C1"/>
    <w:multiLevelType w:val="hybridMultilevel"/>
    <w:tmpl w:val="BF68A946"/>
    <w:lvl w:ilvl="0" w:tplc="79947E3C">
      <w:start w:val="1"/>
      <w:numFmt w:val="bullet"/>
      <w:lvlText w:val="●"/>
      <w:lvlJc w:val="left"/>
      <w:pPr>
        <w:ind w:left="720" w:hanging="360"/>
      </w:pPr>
    </w:lvl>
    <w:lvl w:ilvl="1" w:tplc="26A85162">
      <w:start w:val="1"/>
      <w:numFmt w:val="bullet"/>
      <w:lvlText w:val="○"/>
      <w:lvlJc w:val="left"/>
      <w:pPr>
        <w:ind w:left="1440" w:hanging="360"/>
      </w:pPr>
    </w:lvl>
    <w:lvl w:ilvl="2" w:tplc="7BC23376">
      <w:start w:val="1"/>
      <w:numFmt w:val="bullet"/>
      <w:lvlText w:val="■"/>
      <w:lvlJc w:val="left"/>
      <w:pPr>
        <w:ind w:left="2160" w:hanging="360"/>
      </w:pPr>
    </w:lvl>
    <w:lvl w:ilvl="3" w:tplc="A836B5E0">
      <w:start w:val="1"/>
      <w:numFmt w:val="bullet"/>
      <w:lvlText w:val="●"/>
      <w:lvlJc w:val="left"/>
      <w:pPr>
        <w:ind w:left="2880" w:hanging="360"/>
      </w:pPr>
    </w:lvl>
    <w:lvl w:ilvl="4" w:tplc="08F62F08">
      <w:start w:val="1"/>
      <w:numFmt w:val="bullet"/>
      <w:lvlText w:val="○"/>
      <w:lvlJc w:val="left"/>
      <w:pPr>
        <w:ind w:left="3600" w:hanging="360"/>
      </w:pPr>
    </w:lvl>
    <w:lvl w:ilvl="5" w:tplc="BDE694E8">
      <w:start w:val="1"/>
      <w:numFmt w:val="bullet"/>
      <w:lvlText w:val="■"/>
      <w:lvlJc w:val="left"/>
      <w:pPr>
        <w:ind w:left="4320" w:hanging="360"/>
      </w:pPr>
    </w:lvl>
    <w:lvl w:ilvl="6" w:tplc="0E669B74">
      <w:start w:val="1"/>
      <w:numFmt w:val="bullet"/>
      <w:lvlText w:val="●"/>
      <w:lvlJc w:val="left"/>
      <w:pPr>
        <w:ind w:left="5040" w:hanging="360"/>
      </w:pPr>
    </w:lvl>
    <w:lvl w:ilvl="7" w:tplc="56A43DBC">
      <w:start w:val="1"/>
      <w:numFmt w:val="bullet"/>
      <w:lvlText w:val="●"/>
      <w:lvlJc w:val="left"/>
      <w:pPr>
        <w:ind w:left="5760" w:hanging="360"/>
      </w:pPr>
    </w:lvl>
    <w:lvl w:ilvl="8" w:tplc="C91E31E4">
      <w:start w:val="1"/>
      <w:numFmt w:val="bullet"/>
      <w:lvlText w:val="●"/>
      <w:lvlJc w:val="left"/>
      <w:pPr>
        <w:ind w:left="6480" w:hanging="360"/>
      </w:pPr>
    </w:lvl>
  </w:abstractNum>
  <w:abstractNum w:abstractNumId="1" w15:restartNumberingAfterBreak="0">
    <w:nsid w:val="74244A2D"/>
    <w:multiLevelType w:val="hybridMultilevel"/>
    <w:tmpl w:val="B28E66EE"/>
    <w:lvl w:ilvl="0" w:tplc="52702D36">
      <w:start w:val="1"/>
      <w:numFmt w:val="bullet"/>
      <w:lvlText w:val="•"/>
      <w:lvlJc w:val="left"/>
      <w:pPr>
        <w:ind w:left="460" w:hanging="260"/>
      </w:pPr>
    </w:lvl>
    <w:lvl w:ilvl="1" w:tplc="B8563636">
      <w:numFmt w:val="decimal"/>
      <w:lvlText w:val=""/>
      <w:lvlJc w:val="left"/>
    </w:lvl>
    <w:lvl w:ilvl="2" w:tplc="20FA57BE">
      <w:numFmt w:val="decimal"/>
      <w:lvlText w:val=""/>
      <w:lvlJc w:val="left"/>
    </w:lvl>
    <w:lvl w:ilvl="3" w:tplc="8460D3DA">
      <w:numFmt w:val="decimal"/>
      <w:lvlText w:val=""/>
      <w:lvlJc w:val="left"/>
    </w:lvl>
    <w:lvl w:ilvl="4" w:tplc="E7FC397A">
      <w:numFmt w:val="decimal"/>
      <w:lvlText w:val=""/>
      <w:lvlJc w:val="left"/>
    </w:lvl>
    <w:lvl w:ilvl="5" w:tplc="6A3041B4">
      <w:numFmt w:val="decimal"/>
      <w:lvlText w:val=""/>
      <w:lvlJc w:val="left"/>
    </w:lvl>
    <w:lvl w:ilvl="6" w:tplc="11B80EC2">
      <w:numFmt w:val="decimal"/>
      <w:lvlText w:val=""/>
      <w:lvlJc w:val="left"/>
    </w:lvl>
    <w:lvl w:ilvl="7" w:tplc="72886388">
      <w:numFmt w:val="decimal"/>
      <w:lvlText w:val=""/>
      <w:lvlJc w:val="left"/>
    </w:lvl>
    <w:lvl w:ilvl="8" w:tplc="EBC446E8">
      <w:numFmt w:val="decimal"/>
      <w:lvlText w:val=""/>
      <w:lvlJc w:val="left"/>
    </w:lvl>
  </w:abstractNum>
  <w:num w:numId="1" w16cid:durableId="1718049664">
    <w:abstractNumId w:val="0"/>
    <w:lvlOverride w:ilvl="0">
      <w:startOverride w:val="1"/>
    </w:lvlOverride>
  </w:num>
  <w:num w:numId="2" w16cid:durableId="14661227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87D"/>
    <w:rsid w:val="000D786F"/>
    <w:rsid w:val="0069087D"/>
    <w:rsid w:val="00713908"/>
    <w:rsid w:val="00D02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43BF7"/>
  <w15:docId w15:val="{8BC7EECA-E9E9-41DB-90B6-B9EDC5500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2902</Words>
  <Characters>16547</Characters>
  <Application>Microsoft Office Word</Application>
  <DocSecurity>0</DocSecurity>
  <Lines>137</Lines>
  <Paragraphs>38</Paragraphs>
  <ScaleCrop>false</ScaleCrop>
  <Company/>
  <LinksUpToDate>false</LinksUpToDate>
  <CharactersWithSpaces>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K</cp:lastModifiedBy>
  <cp:revision>2</cp:revision>
  <dcterms:created xsi:type="dcterms:W3CDTF">2026-08-22T11:44:00Z</dcterms:created>
  <dcterms:modified xsi:type="dcterms:W3CDTF">2026-08-22T12:26:00Z</dcterms:modified>
</cp:coreProperties>
</file>