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5F504">
      <w:pPr>
        <w:spacing w:before="1200"/>
        <w:jc w:val="center"/>
        <w:rPr>
          <w:rFonts w:hint="default"/>
          <w:b/>
          <w:bCs/>
          <w:color w:val="auto"/>
          <w:sz w:val="28"/>
          <w:szCs w:val="28"/>
          <w:lang w:val="en-US"/>
        </w:rPr>
      </w:pPr>
      <w:r>
        <w:rPr>
          <w:rFonts w:hint="default"/>
          <w:b/>
          <w:bCs/>
          <w:color w:val="auto"/>
          <w:sz w:val="28"/>
          <w:szCs w:val="28"/>
          <w:lang w:val="en-US"/>
        </w:rPr>
        <w:t>ASSESSMENT TOOL-01</w:t>
      </w:r>
    </w:p>
    <w:p w14:paraId="789342A9">
      <w:pPr>
        <w:spacing w:before="600" w:after="200"/>
        <w:jc w:val="center"/>
        <w:rPr>
          <w:color w:val="auto"/>
        </w:rPr>
      </w:pPr>
      <w:r>
        <w:rPr>
          <w:b/>
          <w:bCs/>
          <w:color w:val="auto"/>
          <w:sz w:val="44"/>
          <w:szCs w:val="44"/>
        </w:rPr>
        <w:t>AI-Based Smart Food Supply Chain</w:t>
      </w:r>
    </w:p>
    <w:p w14:paraId="08B61885">
      <w:pPr>
        <w:spacing w:after="600"/>
        <w:jc w:val="center"/>
        <w:rPr>
          <w:color w:val="auto"/>
        </w:rPr>
      </w:pPr>
      <w:r>
        <w:rPr>
          <w:b/>
          <w:bCs/>
          <w:color w:val="auto"/>
          <w:sz w:val="44"/>
          <w:szCs w:val="44"/>
        </w:rPr>
        <w:t>Traceability and Quality Monitoring Platform</w:t>
      </w:r>
    </w:p>
    <w:p w14:paraId="00921BCB">
      <w:pPr>
        <w:spacing w:before="400" w:after="200"/>
        <w:jc w:val="center"/>
        <w:rPr>
          <w:color w:val="auto"/>
        </w:rPr>
      </w:pPr>
      <w:r>
        <w:rPr>
          <w:i/>
          <w:iCs/>
          <w:color w:val="auto"/>
          <w:sz w:val="24"/>
          <w:szCs w:val="24"/>
        </w:rPr>
        <w:t>Leveraging Artificial Intelligence, IoT, Blockchain and Cloud Computing</w:t>
      </w:r>
    </w:p>
    <w:p w14:paraId="437EA40B">
      <w:pPr>
        <w:spacing w:after="200"/>
        <w:jc w:val="center"/>
        <w:rPr>
          <w:color w:val="auto"/>
        </w:rPr>
      </w:pPr>
      <w:r>
        <w:rPr>
          <w:i/>
          <w:iCs/>
          <w:color w:val="auto"/>
          <w:sz w:val="24"/>
          <w:szCs w:val="24"/>
        </w:rPr>
        <w:t>for End-to-End Food Safety and Transparency</w:t>
      </w:r>
    </w:p>
    <w:p w14:paraId="3567F647">
      <w:pPr>
        <w:spacing w:before="1600" w:after="100"/>
        <w:jc w:val="center"/>
        <w:rPr>
          <w:color w:val="auto"/>
          <w:sz w:val="32"/>
          <w:szCs w:val="36"/>
        </w:rPr>
      </w:pPr>
      <w:r>
        <w:rPr>
          <w:rFonts w:hint="default"/>
          <w:b/>
          <w:bCs/>
          <w:color w:val="auto"/>
          <w:sz w:val="36"/>
          <w:szCs w:val="36"/>
          <w:lang w:val="en-US"/>
        </w:rPr>
        <w:t>SUBMITTED BY</w:t>
      </w:r>
      <w:r>
        <w:rPr>
          <w:b/>
          <w:bCs/>
          <w:color w:val="auto"/>
          <w:sz w:val="36"/>
          <w:szCs w:val="36"/>
        </w:rPr>
        <w:t>:</w:t>
      </w:r>
    </w:p>
    <w:p w14:paraId="1D0D7983">
      <w:pPr>
        <w:spacing w:after="100"/>
        <w:jc w:val="center"/>
        <w:rPr>
          <w:color w:val="auto"/>
          <w:sz w:val="24"/>
          <w:szCs w:val="28"/>
        </w:rPr>
      </w:pPr>
      <w:r>
        <w:rPr>
          <w:rFonts w:hint="default"/>
          <w:color w:val="auto"/>
          <w:sz w:val="28"/>
          <w:szCs w:val="28"/>
          <w:lang w:val="en-US"/>
        </w:rPr>
        <w:t>Balaji K</w:t>
      </w:r>
    </w:p>
    <w:p w14:paraId="2ACE78C2">
      <w:pPr>
        <w:spacing w:after="400"/>
        <w:jc w:val="center"/>
        <w:rPr>
          <w:color w:val="auto"/>
          <w:sz w:val="24"/>
          <w:szCs w:val="28"/>
        </w:rPr>
      </w:pPr>
      <w:r>
        <w:rPr>
          <w:rFonts w:hint="default"/>
          <w:color w:val="auto"/>
          <w:sz w:val="28"/>
          <w:szCs w:val="28"/>
          <w:lang w:val="en-US"/>
        </w:rPr>
        <w:t>192511404</w:t>
      </w:r>
    </w:p>
    <w:p w14:paraId="3A6EF65F">
      <w:pPr>
        <w:spacing w:after="100"/>
        <w:jc w:val="center"/>
        <w:rPr>
          <w:color w:val="auto"/>
          <w:sz w:val="36"/>
          <w:szCs w:val="36"/>
        </w:rPr>
      </w:pPr>
      <w:r>
        <w:rPr>
          <w:b/>
          <w:bCs/>
          <w:color w:val="auto"/>
          <w:sz w:val="36"/>
          <w:szCs w:val="36"/>
        </w:rPr>
        <w:t>Under the Guidance of</w:t>
      </w:r>
    </w:p>
    <w:p w14:paraId="61C2900C">
      <w:pPr>
        <w:spacing w:after="600"/>
        <w:jc w:val="center"/>
        <w:rPr>
          <w:color w:val="auto"/>
          <w:sz w:val="28"/>
          <w:szCs w:val="28"/>
        </w:rPr>
      </w:pPr>
      <w:r>
        <w:rPr>
          <w:rFonts w:hint="default"/>
          <w:color w:val="auto"/>
          <w:sz w:val="28"/>
          <w:szCs w:val="28"/>
          <w:lang w:val="en-US"/>
        </w:rPr>
        <w:t>Dr. R. Latha</w:t>
      </w:r>
    </w:p>
    <w:p w14:paraId="510D9ECC">
      <w:pPr>
        <w:spacing w:before="1000"/>
        <w:jc w:val="center"/>
        <w:rPr>
          <w:color w:val="auto"/>
        </w:rPr>
      </w:pPr>
      <w:r>
        <w:rPr>
          <w:rFonts w:hint="default"/>
          <w:b/>
          <w:bCs/>
          <w:color w:val="auto"/>
          <w:sz w:val="22"/>
          <w:szCs w:val="22"/>
          <w:lang w:val="en-US"/>
        </w:rPr>
        <w:t>B.E CSE</w:t>
      </w:r>
    </w:p>
    <w:p w14:paraId="4404EC98">
      <w:pPr>
        <w:jc w:val="center"/>
        <w:rPr>
          <w:rFonts w:hint="default"/>
          <w:color w:val="auto"/>
          <w:lang w:val="en-US"/>
        </w:rPr>
      </w:pPr>
      <w:r>
        <w:rPr>
          <w:rFonts w:hint="default"/>
          <w:b/>
          <w:bCs/>
          <w:color w:val="auto"/>
          <w:sz w:val="22"/>
          <w:szCs w:val="22"/>
          <w:lang w:val="en-US"/>
        </w:rPr>
        <w:t>Saveetha School of Engineering, SIMATS</w:t>
      </w:r>
    </w:p>
    <w:p w14:paraId="12CBE6F1">
      <w:pPr>
        <w:spacing w:after="100"/>
        <w:jc w:val="center"/>
        <w:rPr>
          <w:color w:val="auto"/>
        </w:rPr>
      </w:pPr>
      <w:r>
        <w:rPr>
          <w:color w:val="auto"/>
          <w:sz w:val="22"/>
          <w:szCs w:val="22"/>
        </w:rPr>
        <w:t>2026</w:t>
      </w:r>
    </w:p>
    <w:p w14:paraId="00640BCF">
      <w:pPr>
        <w:rPr>
          <w:color w:val="auto"/>
        </w:rPr>
        <w:sectPr>
          <w:pgSz w:w="12240" w:h="15840"/>
          <w:pgMar w:top="1440" w:right="1440" w:bottom="1440" w:left="1440" w:header="708" w:footer="708" w:gutter="0"/>
          <w:cols w:space="720" w:num="1"/>
          <w:docGrid w:linePitch="360" w:charSpace="0"/>
        </w:sectPr>
      </w:pPr>
    </w:p>
    <w:p w14:paraId="6910A699">
      <w:pPr>
        <w:pStyle w:val="2"/>
        <w:spacing w:before="400" w:after="200"/>
        <w:rPr>
          <w:color w:val="auto"/>
        </w:rPr>
      </w:pPr>
      <w:r>
        <w:rPr>
          <w:b/>
          <w:bCs/>
          <w:color w:val="auto"/>
          <w:sz w:val="30"/>
          <w:szCs w:val="30"/>
        </w:rPr>
        <w:t>Abstract</w:t>
      </w:r>
    </w:p>
    <w:p w14:paraId="69AB65C3">
      <w:pPr>
        <w:spacing w:after="160" w:line="300" w:lineRule="auto"/>
        <w:jc w:val="both"/>
        <w:rPr>
          <w:color w:val="auto"/>
        </w:rPr>
      </w:pPr>
      <w:r>
        <w:rPr>
          <w:color w:val="auto"/>
          <w:sz w:val="22"/>
          <w:szCs w:val="22"/>
        </w:rPr>
        <w:t>The global food supply chain is a complex, multi-tier network involving farmers, processors, distributors, retailers, and consumers. Lack of visibility across these stages leads to contamination, spoilage, counterfeit products, and delayed recalls, resulting in significant financial losses and health risks. This project proposes an AI-Based Smart Food Supply Chain Traceability and Quality Monitoring Platform that integrates Artificial Intelligence, Internet of Things (IoT) sensors, Radio Frequency Identification (RFID), Blockchain, and Cloud Computing to deliver real-time, tamper-proof visibility into food movement and condition.</w:t>
      </w:r>
    </w:p>
    <w:p w14:paraId="65B4460C">
      <w:pPr>
        <w:spacing w:after="160" w:line="300" w:lineRule="auto"/>
        <w:jc w:val="both"/>
        <w:rPr>
          <w:color w:val="auto"/>
        </w:rPr>
      </w:pPr>
      <w:r>
        <w:rPr>
          <w:color w:val="auto"/>
          <w:sz w:val="22"/>
          <w:szCs w:val="22"/>
        </w:rPr>
        <w:t>The platform continuously monitors environmental parameters such as temperature, humidity, and transportation conditions using IoT sensor networks, and applies machine learning models to predict spoilage risk and remaining shelf life before quality degrades beyond safe limits. Blockchain-based ledgers record every transaction and handoff along the chain, enabling verifiable proof of product origin and authentic chain-of-custody. Automated compliance reports are generated for regulatory bodies, and real-time alerts are pushed to stakeholders whenever a quality threshold is breached, allowing corrective action before spoiled or unsafe products reach consumers.</w:t>
      </w:r>
    </w:p>
    <w:p w14:paraId="0CA7CE87">
      <w:pPr>
        <w:spacing w:after="160" w:line="300" w:lineRule="auto"/>
        <w:jc w:val="both"/>
        <w:rPr>
          <w:color w:val="auto"/>
        </w:rPr>
      </w:pPr>
      <w:r>
        <w:rPr>
          <w:color w:val="auto"/>
          <w:sz w:val="22"/>
          <w:szCs w:val="22"/>
        </w:rPr>
        <w:t>The proposed system is designed to reduce food waste, minimize recall costs, strengthen regulatory compliance, and build consumer trust through transparent, verifiable information about the food they purchase. This report presents the problem context, objectives, literature survey, proposed system architecture, technology stack, module-wise design, AI methodology, implementation approach, and expected outcomes of the platform.</w:t>
      </w:r>
    </w:p>
    <w:p w14:paraId="68F5A865">
      <w:pPr>
        <w:pStyle w:val="3"/>
        <w:spacing w:before="280" w:after="140"/>
        <w:rPr>
          <w:color w:val="auto"/>
        </w:rPr>
      </w:pPr>
      <w:r>
        <w:rPr>
          <w:b/>
          <w:bCs/>
          <w:color w:val="auto"/>
          <w:sz w:val="25"/>
          <w:szCs w:val="25"/>
        </w:rPr>
        <w:t>Keywords</w:t>
      </w:r>
    </w:p>
    <w:p w14:paraId="0CD82932">
      <w:pPr>
        <w:spacing w:after="160" w:line="300" w:lineRule="auto"/>
        <w:jc w:val="both"/>
        <w:rPr>
          <w:color w:val="auto"/>
        </w:rPr>
      </w:pPr>
      <w:r>
        <w:rPr>
          <w:color w:val="auto"/>
          <w:sz w:val="22"/>
          <w:szCs w:val="22"/>
        </w:rPr>
        <w:t>Food Traceability, Artificial Intelligence, IoT, Blockchain, RFID, Cold Chain Monitoring, Spoilage Prediction, Supply Chain Transparency, Machine Learning, Smart Agriculture.</w:t>
      </w:r>
    </w:p>
    <w:p w14:paraId="7CB9F54A">
      <w:pPr>
        <w:rPr>
          <w:color w:val="auto"/>
        </w:rPr>
      </w:pPr>
      <w:r>
        <w:rPr>
          <w:color w:val="auto"/>
        </w:rPr>
        <w:br w:type="page"/>
      </w:r>
    </w:p>
    <w:p w14:paraId="448A3208">
      <w:pPr>
        <w:pStyle w:val="2"/>
        <w:spacing w:before="400" w:after="200"/>
        <w:rPr>
          <w:color w:val="auto"/>
        </w:rPr>
      </w:pPr>
      <w:r>
        <w:rPr>
          <w:b/>
          <w:bCs/>
          <w:color w:val="auto"/>
          <w:sz w:val="30"/>
          <w:szCs w:val="30"/>
        </w:rPr>
        <w:t>1. Introduction</w:t>
      </w:r>
    </w:p>
    <w:p w14:paraId="2CFCE879">
      <w:pPr>
        <w:pStyle w:val="3"/>
        <w:spacing w:before="280" w:after="140"/>
        <w:rPr>
          <w:color w:val="auto"/>
        </w:rPr>
      </w:pPr>
      <w:r>
        <w:rPr>
          <w:b/>
          <w:bCs/>
          <w:color w:val="auto"/>
          <w:sz w:val="25"/>
          <w:szCs w:val="25"/>
        </w:rPr>
        <w:t>1.1 Industry Context</w:t>
      </w:r>
    </w:p>
    <w:p w14:paraId="53A6E429">
      <w:pPr>
        <w:spacing w:after="160" w:line="300" w:lineRule="auto"/>
        <w:jc w:val="both"/>
        <w:rPr>
          <w:color w:val="auto"/>
          <w:sz w:val="22"/>
          <w:szCs w:val="22"/>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3225800</wp:posOffset>
            </wp:positionH>
            <wp:positionV relativeFrom="paragraph">
              <wp:posOffset>1102995</wp:posOffset>
            </wp:positionV>
            <wp:extent cx="2581275" cy="2324100"/>
            <wp:effectExtent l="0" t="0" r="9525" b="762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581275" cy="2324100"/>
                    </a:xfrm>
                    <a:prstGeom prst="rect">
                      <a:avLst/>
                    </a:prstGeom>
                    <a:noFill/>
                    <a:ln w="9525">
                      <a:noFill/>
                    </a:ln>
                  </pic:spPr>
                </pic:pic>
              </a:graphicData>
            </a:graphic>
          </wp:anchor>
        </w:drawing>
      </w:r>
      <w:r>
        <w:rPr>
          <w:color w:val="auto"/>
          <w:sz w:val="22"/>
          <w:szCs w:val="22"/>
        </w:rPr>
        <w:t>The food industry is under increasing pressure to guarantee safety, quality, and transparency across globally distributed supply chains. Consumers today expect to know where their food comes from, how it was grown or processed, and under what conditions it travelled before reaching their plate. Regulatory authorities, in parallel, demand verifiable records to enforce food-safety standards and to trace the source of contamination quickly when outbreaks occur.</w:t>
      </w:r>
    </w:p>
    <w:p w14:paraId="3F53FA76">
      <w:pPr>
        <w:spacing w:after="160" w:line="300" w:lineRule="auto"/>
        <w:jc w:val="both"/>
        <w:rPr>
          <w:color w:val="auto"/>
          <w:sz w:val="22"/>
          <w:szCs w:val="22"/>
        </w:rPr>
      </w:pPr>
      <w:r>
        <w:rPr>
          <w:color w:val="auto"/>
          <w:sz w:val="22"/>
          <w:szCs w:val="22"/>
        </w:rPr>
        <w:t>Emerging technologies — Artificial Intelligence, the Internet of Things, Blockchain, RFID, and Cloud Computing — are converging to make true end-to-end traceability practical at scale. Sensors capture real-time environmental data, AI models interpret that data to predict risk, blockchain provides an immutable audit trail, and cloud platforms make the resulting insights accessible to every stakeholder in the chain.</w:t>
      </w:r>
    </w:p>
    <w:p w14:paraId="31E3B927">
      <w:pPr>
        <w:spacing w:after="160" w:line="300" w:lineRule="auto"/>
        <w:jc w:val="both"/>
        <w:rPr>
          <w:color w:val="auto"/>
          <w:sz w:val="22"/>
          <w:szCs w:val="22"/>
        </w:rPr>
      </w:pPr>
    </w:p>
    <w:p w14:paraId="73A68982">
      <w:pPr>
        <w:spacing w:after="160" w:line="300" w:lineRule="auto"/>
        <w:jc w:val="both"/>
        <w:rPr>
          <w:color w:val="auto"/>
          <w:sz w:val="22"/>
          <w:szCs w:val="22"/>
        </w:rPr>
      </w:pPr>
    </w:p>
    <w:p w14:paraId="3052D784">
      <w:pPr>
        <w:pStyle w:val="3"/>
        <w:spacing w:before="280" w:after="140"/>
        <w:rPr>
          <w:color w:val="auto"/>
        </w:rPr>
      </w:pPr>
      <w:r>
        <w:rPr>
          <w:b/>
          <w:bCs/>
          <w:color w:val="auto"/>
          <w:sz w:val="25"/>
          <w:szCs w:val="25"/>
        </w:rPr>
        <w:t>1.2 Motivation</w:t>
      </w:r>
    </w:p>
    <w:p w14:paraId="229F308F">
      <w:pPr>
        <w:spacing w:after="160" w:line="300" w:lineRule="auto"/>
        <w:jc w:val="both"/>
        <w:rPr>
          <w:color w:val="auto"/>
        </w:rPr>
      </w:pPr>
      <w:r>
        <w:rPr>
          <w:color w:val="auto"/>
          <w:sz w:val="22"/>
          <w:szCs w:val="22"/>
        </w:rPr>
        <w:t>Traditional food tracking relies on manual record-keeping, paper trails, and disconnected systems that offer only partial, delayed visibility. When contamination is discovered, it can take days or weeks to trace the affected batch back to its source, by which time the product has already reached thousands of consumers. A digital, sensor-driven, AI-powered traceability platform can compress this response time from weeks to minutes, directly protecting public health and reducing economic loss.</w:t>
      </w:r>
    </w:p>
    <w:p w14:paraId="72B6286B">
      <w:pPr>
        <w:pStyle w:val="3"/>
        <w:spacing w:before="280" w:after="140"/>
        <w:rPr>
          <w:color w:val="auto"/>
        </w:rPr>
      </w:pPr>
      <w:r>
        <w:rPr>
          <w:b/>
          <w:bCs/>
          <w:color w:val="auto"/>
          <w:sz w:val="25"/>
          <w:szCs w:val="25"/>
        </w:rPr>
        <w:t>1.3 Scope of the Project</w:t>
      </w:r>
    </w:p>
    <w:p w14:paraId="4AABC6C5">
      <w:pPr>
        <w:spacing w:after="160" w:line="300" w:lineRule="auto"/>
        <w:jc w:val="both"/>
        <w:rPr>
          <w:color w:val="auto"/>
        </w:rPr>
      </w:pPr>
      <w:r>
        <w:rPr>
          <w:color w:val="auto"/>
          <w:sz w:val="22"/>
          <w:szCs w:val="22"/>
        </w:rPr>
        <w:t>This project covers the design of a traceability and quality-monitoring platform spanning farm/source, storage, transportation, and retail stages. It includes real-time environmental monitoring, AI-based spoilage prediction, blockchain-backed origin verification, automated compliance reporting, and stakeholder notification. Hardware procurement and full-scale field deployment are outside the scope of this report, which focuses on system design, architecture, and a working prototype approach.</w:t>
      </w:r>
    </w:p>
    <w:p w14:paraId="2AD31F3F">
      <w:pPr>
        <w:pStyle w:val="2"/>
        <w:spacing w:before="400" w:after="200"/>
        <w:rPr>
          <w:color w:val="auto"/>
        </w:rPr>
      </w:pPr>
      <w:r>
        <w:rPr>
          <w:b/>
          <w:bCs/>
          <w:color w:val="auto"/>
          <w:sz w:val="30"/>
          <w:szCs w:val="30"/>
        </w:rPr>
        <w:t>2. Problem Statement</w:t>
      </w:r>
    </w:p>
    <w:p w14:paraId="07BC9B10">
      <w:pPr>
        <w:spacing w:after="160" w:line="300" w:lineRule="auto"/>
        <w:jc w:val="both"/>
        <w:rPr>
          <w:color w:val="auto"/>
        </w:rPr>
      </w:pPr>
      <w:r>
        <w:rPr>
          <w:color w:val="auto"/>
          <w:sz w:val="22"/>
          <w:szCs w:val="22"/>
        </w:rPr>
        <w:t>Food contamination, improper storage, and lack of traceability lead to product recalls, financial losses, and serious health risks. Traditional tracking methods — largely manual and paper-based — provide limited visibility across the supply chain, making it difficult to answer basic questions in real time: Where is this product right now? What conditions has it been exposed to? Is it still safe to consume?</w:t>
      </w:r>
    </w:p>
    <w:p w14:paraId="4A07EC8B">
      <w:pPr>
        <w:spacing w:after="160" w:line="300" w:lineRule="auto"/>
        <w:jc w:val="both"/>
        <w:rPr>
          <w:color w:val="auto"/>
        </w:rPr>
      </w:pPr>
      <w:r>
        <w:rPr>
          <w:color w:val="auto"/>
          <w:sz w:val="22"/>
          <w:szCs w:val="22"/>
        </w:rPr>
        <w:t>An effective solution must continuously monitor storage and transport conditions, verify the authenticity of origin claims, predict spoilage before it happens rather than reacting after the fact, and generate the documentation regulators require — all while remaining usable by stakeholders with varying levels of technical expertise, from smallholder farmers to large distribution centres.</w:t>
      </w:r>
    </w:p>
    <w:p w14:paraId="19AE2F86">
      <w:pPr>
        <w:pStyle w:val="3"/>
        <w:spacing w:before="280" w:after="140"/>
        <w:rPr>
          <w:color w:val="auto"/>
        </w:rPr>
      </w:pPr>
      <w:r>
        <w:rPr>
          <w:b/>
          <w:bCs/>
          <w:color w:val="auto"/>
          <w:sz w:val="25"/>
          <w:szCs w:val="25"/>
        </w:rPr>
        <w:t>2.1 Key Challenges Addressed</w:t>
      </w:r>
    </w:p>
    <w:p w14:paraId="3259F158">
      <w:pPr>
        <w:pStyle w:val="16"/>
        <w:numPr>
          <w:ilvl w:val="0"/>
          <w:numId w:val="1"/>
        </w:numPr>
        <w:spacing w:after="90"/>
        <w:rPr>
          <w:color w:val="auto"/>
        </w:rPr>
      </w:pPr>
      <w:r>
        <w:rPr>
          <w:color w:val="auto"/>
          <w:sz w:val="22"/>
          <w:szCs w:val="22"/>
        </w:rPr>
        <w:t>Fragmented, siloed data across farmers, processors, distributors, and retailers.</w:t>
      </w:r>
    </w:p>
    <w:p w14:paraId="132C8175">
      <w:pPr>
        <w:pStyle w:val="16"/>
        <w:numPr>
          <w:ilvl w:val="0"/>
          <w:numId w:val="1"/>
        </w:numPr>
        <w:spacing w:after="90"/>
        <w:rPr>
          <w:color w:val="auto"/>
        </w:rPr>
      </w:pPr>
      <w:r>
        <w:rPr>
          <w:color w:val="auto"/>
          <w:sz w:val="22"/>
          <w:szCs w:val="22"/>
        </w:rPr>
        <w:t>Delayed detection of temperature/humidity excursions that cause spoilage.</w:t>
      </w:r>
    </w:p>
    <w:p w14:paraId="36AB6FB5">
      <w:pPr>
        <w:pStyle w:val="16"/>
        <w:numPr>
          <w:ilvl w:val="0"/>
          <w:numId w:val="1"/>
        </w:numPr>
        <w:spacing w:after="90"/>
        <w:rPr>
          <w:color w:val="auto"/>
        </w:rPr>
      </w:pPr>
      <w:r>
        <w:rPr>
          <w:color w:val="auto"/>
          <w:sz w:val="22"/>
          <w:szCs w:val="22"/>
        </w:rPr>
        <w:t>Inability to verify claimed origin or organic/certification status.</w:t>
      </w:r>
    </w:p>
    <w:p w14:paraId="5DF1C424">
      <w:pPr>
        <w:pStyle w:val="16"/>
        <w:numPr>
          <w:ilvl w:val="0"/>
          <w:numId w:val="1"/>
        </w:numPr>
        <w:spacing w:after="90"/>
        <w:rPr>
          <w:color w:val="auto"/>
        </w:rPr>
      </w:pPr>
      <w:r>
        <w:rPr>
          <w:color w:val="auto"/>
          <w:sz w:val="22"/>
          <w:szCs w:val="22"/>
        </w:rPr>
        <w:t>Manual, error-prone, and slow compliance reporting.</w:t>
      </w:r>
    </w:p>
    <w:p w14:paraId="17CC0A36">
      <w:pPr>
        <w:pStyle w:val="16"/>
        <w:numPr>
          <w:ilvl w:val="0"/>
          <w:numId w:val="1"/>
        </w:numPr>
        <w:spacing w:after="90"/>
        <w:rPr>
          <w:color w:val="auto"/>
        </w:rPr>
      </w:pPr>
      <w:r>
        <w:rPr>
          <w:color w:val="auto"/>
          <w:sz w:val="22"/>
          <w:szCs w:val="22"/>
        </w:rPr>
        <w:t>Reactive (rather than predictive) recall processes that occur after harm is done.</w:t>
      </w:r>
    </w:p>
    <w:p w14:paraId="3C50BFF9">
      <w:pPr>
        <w:pStyle w:val="16"/>
        <w:numPr>
          <w:ilvl w:val="0"/>
          <w:numId w:val="1"/>
        </w:numPr>
        <w:spacing w:after="90"/>
        <w:rPr>
          <w:color w:val="auto"/>
        </w:rPr>
      </w:pPr>
      <w:r>
        <w:rPr>
          <w:color w:val="auto"/>
          <w:sz w:val="22"/>
          <w:szCs w:val="22"/>
        </w:rPr>
        <w:t>Significant food waste due to inefficient cold-chain and inventory management.</w:t>
      </w:r>
    </w:p>
    <w:p w14:paraId="222671CE">
      <w:pPr>
        <w:pStyle w:val="2"/>
        <w:spacing w:before="400" w:after="200"/>
        <w:rPr>
          <w:color w:val="auto"/>
        </w:rPr>
      </w:pPr>
      <w:r>
        <w:rPr>
          <w:b/>
          <w:bCs/>
          <w:color w:val="auto"/>
          <w:sz w:val="30"/>
          <w:szCs w:val="30"/>
        </w:rPr>
        <w:t>3. Objectives</w:t>
      </w:r>
    </w:p>
    <w:p w14:paraId="1B52E874">
      <w:pPr>
        <w:spacing w:after="160" w:line="300" w:lineRule="auto"/>
        <w:jc w:val="both"/>
        <w:rPr>
          <w:color w:val="auto"/>
        </w:rPr>
      </w:pPr>
      <w:r>
        <w:rPr>
          <w:color w:val="auto"/>
          <w:sz w:val="22"/>
          <w:szCs w:val="22"/>
        </w:rPr>
        <w:t>The project is guided by the following objectives:</w:t>
      </w:r>
    </w:p>
    <w:p w14:paraId="5C4F4FC4">
      <w:pPr>
        <w:pStyle w:val="16"/>
        <w:numPr>
          <w:ilvl w:val="0"/>
          <w:numId w:val="2"/>
        </w:numPr>
        <w:spacing w:after="90"/>
        <w:rPr>
          <w:color w:val="auto"/>
        </w:rPr>
      </w:pPr>
      <w:r>
        <w:rPr>
          <w:color w:val="auto"/>
          <w:sz w:val="22"/>
          <w:szCs w:val="22"/>
        </w:rPr>
        <w:t>Monitor food quality continuously across every stage of the supply chain using IoT sensors.</w:t>
      </w:r>
    </w:p>
    <w:p w14:paraId="5DAB0B1F">
      <w:pPr>
        <w:pStyle w:val="16"/>
        <w:numPr>
          <w:ilvl w:val="0"/>
          <w:numId w:val="2"/>
        </w:numPr>
        <w:spacing w:after="90"/>
        <w:rPr>
          <w:color w:val="auto"/>
        </w:rPr>
      </w:pPr>
      <w:r>
        <w:rPr>
          <w:color w:val="auto"/>
          <w:sz w:val="22"/>
          <w:szCs w:val="22"/>
        </w:rPr>
        <w:t>Track food products throughout the supply chain using RFID/QR-based identification and blockchain ledgers.</w:t>
      </w:r>
    </w:p>
    <w:p w14:paraId="49EFE186">
      <w:pPr>
        <w:pStyle w:val="16"/>
        <w:numPr>
          <w:ilvl w:val="0"/>
          <w:numId w:val="2"/>
        </w:numPr>
        <w:spacing w:after="90"/>
        <w:rPr>
          <w:color w:val="auto"/>
        </w:rPr>
      </w:pPr>
      <w:r>
        <w:rPr>
          <w:color w:val="auto"/>
          <w:sz w:val="22"/>
          <w:szCs w:val="22"/>
        </w:rPr>
        <w:t>Predict food spoilage using AI models trained on environmental and product-specific data.</w:t>
      </w:r>
    </w:p>
    <w:p w14:paraId="1E5BC0EB">
      <w:pPr>
        <w:pStyle w:val="16"/>
        <w:numPr>
          <w:ilvl w:val="0"/>
          <w:numId w:val="2"/>
        </w:numPr>
        <w:spacing w:after="90"/>
        <w:rPr>
          <w:color w:val="auto"/>
        </w:rPr>
      </w:pPr>
      <w:r>
        <w:rPr>
          <w:color w:val="auto"/>
          <w:sz w:val="22"/>
          <w:szCs w:val="22"/>
        </w:rPr>
        <w:t>Verify product origin through tamper-proof, blockchain-anchored provenance records.</w:t>
      </w:r>
    </w:p>
    <w:p w14:paraId="321628F0">
      <w:pPr>
        <w:pStyle w:val="16"/>
        <w:numPr>
          <w:ilvl w:val="0"/>
          <w:numId w:val="2"/>
        </w:numPr>
        <w:spacing w:after="90"/>
        <w:rPr>
          <w:color w:val="auto"/>
        </w:rPr>
      </w:pPr>
      <w:r>
        <w:rPr>
          <w:color w:val="auto"/>
          <w:sz w:val="22"/>
          <w:szCs w:val="22"/>
        </w:rPr>
        <w:t>Generate automated compliance reports aligned with food-safety regulations.</w:t>
      </w:r>
    </w:p>
    <w:p w14:paraId="2DF48F33">
      <w:pPr>
        <w:pStyle w:val="16"/>
        <w:numPr>
          <w:ilvl w:val="0"/>
          <w:numId w:val="2"/>
        </w:numPr>
        <w:spacing w:after="90"/>
        <w:rPr>
          <w:color w:val="auto"/>
        </w:rPr>
      </w:pPr>
      <w:r>
        <w:rPr>
          <w:color w:val="auto"/>
          <w:sz w:val="22"/>
          <w:szCs w:val="22"/>
        </w:rPr>
        <w:t>Optimize cold storage management through predictive analytics and dynamic alerts.</w:t>
      </w:r>
    </w:p>
    <w:p w14:paraId="7041A4D1">
      <w:pPr>
        <w:pStyle w:val="16"/>
        <w:numPr>
          <w:ilvl w:val="0"/>
          <w:numId w:val="2"/>
        </w:numPr>
        <w:spacing w:after="90"/>
        <w:rPr>
          <w:color w:val="auto"/>
        </w:rPr>
      </w:pPr>
      <w:r>
        <w:rPr>
          <w:color w:val="auto"/>
          <w:sz w:val="22"/>
          <w:szCs w:val="22"/>
        </w:rPr>
        <w:t>Reduce food waste by enabling early intervention before spoilage occurs.</w:t>
      </w:r>
    </w:p>
    <w:p w14:paraId="2C5A40FA">
      <w:pPr>
        <w:pStyle w:val="16"/>
        <w:numPr>
          <w:ilvl w:val="0"/>
          <w:numId w:val="2"/>
        </w:numPr>
        <w:spacing w:after="90"/>
        <w:rPr>
          <w:color w:val="auto"/>
        </w:rPr>
      </w:pPr>
      <w:r>
        <w:rPr>
          <w:color w:val="auto"/>
          <w:sz w:val="22"/>
          <w:szCs w:val="22"/>
        </w:rPr>
        <w:t>Improve overall food safety and strengthen consumer confidence through transparency.</w:t>
      </w:r>
    </w:p>
    <w:p w14:paraId="60989FEA">
      <w:pPr>
        <w:pStyle w:val="2"/>
        <w:spacing w:before="400" w:after="200"/>
        <w:rPr>
          <w:color w:val="auto"/>
        </w:rPr>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3129915</wp:posOffset>
            </wp:positionH>
            <wp:positionV relativeFrom="paragraph">
              <wp:posOffset>461010</wp:posOffset>
            </wp:positionV>
            <wp:extent cx="2602865" cy="2336165"/>
            <wp:effectExtent l="0" t="0" r="3175" b="10795"/>
            <wp:wrapSquare wrapText="bothSides"/>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2602865" cy="2336165"/>
                    </a:xfrm>
                    <a:prstGeom prst="rect">
                      <a:avLst/>
                    </a:prstGeom>
                    <a:noFill/>
                    <a:ln w="9525">
                      <a:noFill/>
                    </a:ln>
                  </pic:spPr>
                </pic:pic>
              </a:graphicData>
            </a:graphic>
          </wp:anchor>
        </w:drawing>
      </w:r>
      <w:r>
        <w:rPr>
          <w:b/>
          <w:bCs/>
          <w:color w:val="auto"/>
          <w:sz w:val="30"/>
          <w:szCs w:val="30"/>
        </w:rPr>
        <w:t>4. Literature Survey</w:t>
      </w:r>
    </w:p>
    <w:p w14:paraId="097BB9AF">
      <w:pPr>
        <w:spacing w:after="160" w:line="300" w:lineRule="auto"/>
        <w:jc w:val="both"/>
        <w:rPr>
          <w:color w:val="auto"/>
        </w:rPr>
      </w:pPr>
      <w:r>
        <w:rPr>
          <w:color w:val="auto"/>
          <w:sz w:val="22"/>
          <w:szCs w:val="22"/>
        </w:rPr>
        <w:t>Existing research and industry initiatives have explored individual pieces of the traceability puzzle. IoT-based cold-chain monitoring systems demonstrate that continuous sensing of temperature and humidity can detect excursions in real time, but many implementations stop at alerting and do not incorporate predictive analytics. Blockchain-based traceability pilots, including consortium efforts among large retailers and food producers, show that distributed ledgers can compress traceback time from days to seconds, though adoption is often limited to a single tier of the chain rather than farm-to-fork coverage.</w:t>
      </w:r>
    </w:p>
    <w:p w14:paraId="052E4B07">
      <w:pPr>
        <w:spacing w:after="160" w:line="300" w:lineRule="auto"/>
        <w:jc w:val="both"/>
        <w:rPr>
          <w:color w:val="auto"/>
        </w:rPr>
      </w:pPr>
      <w:r>
        <w:rPr>
          <w:color w:val="auto"/>
          <w:sz w:val="22"/>
          <w:szCs w:val="22"/>
        </w:rPr>
        <w:t>Machine learning approaches to spoilage prediction typically use time-series models — such as regression, decision trees, and recurrent neural networks — trained on temperature/humidity histories combined with product-specific decay curves, achieving useful accuracy in estimating remaining shelf life. RFID-based tracking is well established in logistics for asset visibility but is rarely combined with AI-driven quality prediction in a single unified platform. This project builds on these individual strands by integrating IoT sensing, RFID/QR tracking, blockchain provenance, and AI-based prediction into one cohesive system, addressing the gap between isolated pilots and a genuinely end-to-end solution.</w:t>
      </w:r>
    </w:p>
    <w:p w14:paraId="13D11E85">
      <w:pPr>
        <w:pStyle w:val="3"/>
        <w:spacing w:before="280" w:after="140"/>
        <w:rPr>
          <w:color w:val="auto"/>
        </w:rPr>
      </w:pPr>
      <w:r>
        <w:rPr>
          <w:b/>
          <w:bCs/>
          <w:color w:val="auto"/>
          <w:sz w:val="25"/>
          <w:szCs w:val="25"/>
        </w:rPr>
        <w:t>4.1 Summary of Related Approaches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200"/>
      </w:tblGrid>
      <w:tr w14:paraId="3557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D7D7D7" w:themeFill="background1" w:themeFillShade="D8"/>
            <w:tcMar>
              <w:top w:w="100" w:type="dxa"/>
              <w:left w:w="120" w:type="dxa"/>
              <w:bottom w:w="100" w:type="dxa"/>
              <w:right w:w="120" w:type="dxa"/>
            </w:tcMar>
            <w:vAlign w:val="center"/>
          </w:tcPr>
          <w:p w14:paraId="6D68711B">
            <w:pPr>
              <w:jc w:val="left"/>
              <w:rPr>
                <w:color w:val="F1F1F1" w:themeColor="background1" w:themeShade="F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1F1F1" w:themeColor="background1" w:themeShade="F2"/>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Approach</w:t>
            </w:r>
          </w:p>
        </w:tc>
        <w:tc>
          <w:tcPr>
            <w:tcW w:w="3600" w:type="dxa"/>
            <w:shd w:val="clear" w:color="auto" w:fill="D7D7D7" w:themeFill="background1" w:themeFillShade="D8"/>
            <w:tcMar>
              <w:top w:w="100" w:type="dxa"/>
              <w:left w:w="120" w:type="dxa"/>
              <w:bottom w:w="100" w:type="dxa"/>
              <w:right w:w="120" w:type="dxa"/>
            </w:tcMar>
            <w:vAlign w:val="center"/>
          </w:tcPr>
          <w:p w14:paraId="0560809F">
            <w:pPr>
              <w:jc w:val="left"/>
              <w:rPr>
                <w:color w:val="F1F1F1" w:themeColor="background1" w:themeShade="F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1F1F1" w:themeColor="background1" w:themeShade="F2"/>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Strength</w:t>
            </w:r>
          </w:p>
        </w:tc>
        <w:tc>
          <w:tcPr>
            <w:tcW w:w="3200" w:type="dxa"/>
            <w:shd w:val="clear" w:color="auto" w:fill="D7D7D7" w:themeFill="background1" w:themeFillShade="D8"/>
            <w:tcMar>
              <w:top w:w="100" w:type="dxa"/>
              <w:left w:w="120" w:type="dxa"/>
              <w:bottom w:w="100" w:type="dxa"/>
              <w:right w:w="120" w:type="dxa"/>
            </w:tcMar>
            <w:vAlign w:val="center"/>
          </w:tcPr>
          <w:p w14:paraId="3FD6173C">
            <w:pPr>
              <w:jc w:val="left"/>
              <w:rPr>
                <w:color w:val="F1F1F1" w:themeColor="background1" w:themeShade="F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1F1F1" w:themeColor="background1" w:themeShade="F2"/>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Limitation</w:t>
            </w:r>
          </w:p>
        </w:tc>
      </w:tr>
      <w:tr w14:paraId="5875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4D992698">
            <w:pPr>
              <w:jc w:val="left"/>
              <w:rPr>
                <w:color w:val="auto"/>
              </w:rPr>
            </w:pPr>
            <w:r>
              <w:rPr>
                <w:b w:val="0"/>
                <w:bCs w:val="0"/>
                <w:color w:val="auto"/>
                <w:sz w:val="20"/>
                <w:szCs w:val="20"/>
              </w:rPr>
              <w:t>IoT cold-chain sensors</w:t>
            </w:r>
          </w:p>
        </w:tc>
        <w:tc>
          <w:tcPr>
            <w:tcW w:w="3600" w:type="dxa"/>
            <w:shd w:val="clear" w:color="auto" w:fill="F1F1F1" w:themeFill="background1" w:themeFillShade="F2"/>
            <w:tcMar>
              <w:top w:w="100" w:type="dxa"/>
              <w:left w:w="120" w:type="dxa"/>
              <w:bottom w:w="100" w:type="dxa"/>
              <w:right w:w="120" w:type="dxa"/>
            </w:tcMar>
            <w:vAlign w:val="center"/>
          </w:tcPr>
          <w:p w14:paraId="35FD740C">
            <w:pPr>
              <w:jc w:val="left"/>
              <w:rPr>
                <w:color w:val="auto"/>
              </w:rPr>
            </w:pPr>
            <w:r>
              <w:rPr>
                <w:b w:val="0"/>
                <w:bCs w:val="0"/>
                <w:color w:val="auto"/>
                <w:sz w:val="20"/>
                <w:szCs w:val="20"/>
              </w:rPr>
              <w:t>Real-time environmental visibility</w:t>
            </w:r>
          </w:p>
        </w:tc>
        <w:tc>
          <w:tcPr>
            <w:tcW w:w="3200" w:type="dxa"/>
            <w:shd w:val="clear" w:color="auto" w:fill="F1F1F1" w:themeFill="background1" w:themeFillShade="F2"/>
            <w:tcMar>
              <w:top w:w="100" w:type="dxa"/>
              <w:left w:w="120" w:type="dxa"/>
              <w:bottom w:w="100" w:type="dxa"/>
              <w:right w:w="120" w:type="dxa"/>
            </w:tcMar>
            <w:vAlign w:val="center"/>
          </w:tcPr>
          <w:p w14:paraId="271E7450">
            <w:pPr>
              <w:jc w:val="left"/>
              <w:rPr>
                <w:color w:val="auto"/>
              </w:rPr>
            </w:pPr>
            <w:r>
              <w:rPr>
                <w:b w:val="0"/>
                <w:bCs w:val="0"/>
                <w:color w:val="auto"/>
                <w:sz w:val="20"/>
                <w:szCs w:val="20"/>
              </w:rPr>
              <w:t>No predictive intelligence, reactive alerts only</w:t>
            </w:r>
          </w:p>
        </w:tc>
      </w:tr>
      <w:tr w14:paraId="5227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15BEAA58">
            <w:pPr>
              <w:jc w:val="left"/>
              <w:rPr>
                <w:color w:val="auto"/>
              </w:rPr>
            </w:pPr>
            <w:r>
              <w:rPr>
                <w:b w:val="0"/>
                <w:bCs w:val="0"/>
                <w:color w:val="auto"/>
                <w:sz w:val="20"/>
                <w:szCs w:val="20"/>
              </w:rPr>
              <w:t>Blockchain traceability pilots</w:t>
            </w:r>
          </w:p>
        </w:tc>
        <w:tc>
          <w:tcPr>
            <w:tcW w:w="3600" w:type="dxa"/>
            <w:shd w:val="clear" w:color="auto" w:fill="F1F1F1" w:themeFill="background1" w:themeFillShade="F2"/>
            <w:tcMar>
              <w:top w:w="100" w:type="dxa"/>
              <w:left w:w="120" w:type="dxa"/>
              <w:bottom w:w="100" w:type="dxa"/>
              <w:right w:w="120" w:type="dxa"/>
            </w:tcMar>
            <w:vAlign w:val="center"/>
          </w:tcPr>
          <w:p w14:paraId="40BA888F">
            <w:pPr>
              <w:jc w:val="left"/>
              <w:rPr>
                <w:color w:val="auto"/>
              </w:rPr>
            </w:pPr>
            <w:r>
              <w:rPr>
                <w:b w:val="0"/>
                <w:bCs w:val="0"/>
                <w:color w:val="auto"/>
                <w:sz w:val="20"/>
                <w:szCs w:val="20"/>
              </w:rPr>
              <w:t>Tamper-proof, verifiable records</w:t>
            </w:r>
          </w:p>
        </w:tc>
        <w:tc>
          <w:tcPr>
            <w:tcW w:w="3200" w:type="dxa"/>
            <w:shd w:val="clear" w:color="auto" w:fill="F1F1F1" w:themeFill="background1" w:themeFillShade="F2"/>
            <w:tcMar>
              <w:top w:w="100" w:type="dxa"/>
              <w:left w:w="120" w:type="dxa"/>
              <w:bottom w:w="100" w:type="dxa"/>
              <w:right w:w="120" w:type="dxa"/>
            </w:tcMar>
            <w:vAlign w:val="center"/>
          </w:tcPr>
          <w:p w14:paraId="0240DCBA">
            <w:pPr>
              <w:jc w:val="left"/>
              <w:rPr>
                <w:color w:val="auto"/>
              </w:rPr>
            </w:pPr>
            <w:r>
              <w:rPr>
                <w:b w:val="0"/>
                <w:bCs w:val="0"/>
                <w:color w:val="auto"/>
                <w:sz w:val="20"/>
                <w:szCs w:val="20"/>
              </w:rPr>
              <w:t>Usually limited to one supply-chain tier</w:t>
            </w:r>
          </w:p>
        </w:tc>
      </w:tr>
      <w:tr w14:paraId="49F0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659F3BC3">
            <w:pPr>
              <w:jc w:val="left"/>
              <w:rPr>
                <w:color w:val="auto"/>
              </w:rPr>
            </w:pPr>
            <w:r>
              <w:rPr>
                <w:b w:val="0"/>
                <w:bCs w:val="0"/>
                <w:color w:val="auto"/>
                <w:sz w:val="20"/>
                <w:szCs w:val="20"/>
              </w:rPr>
              <w:t>ML spoilage prediction models</w:t>
            </w:r>
          </w:p>
        </w:tc>
        <w:tc>
          <w:tcPr>
            <w:tcW w:w="3600" w:type="dxa"/>
            <w:shd w:val="clear" w:color="auto" w:fill="F1F1F1" w:themeFill="background1" w:themeFillShade="F2"/>
            <w:tcMar>
              <w:top w:w="100" w:type="dxa"/>
              <w:left w:w="120" w:type="dxa"/>
              <w:bottom w:w="100" w:type="dxa"/>
              <w:right w:w="120" w:type="dxa"/>
            </w:tcMar>
            <w:vAlign w:val="center"/>
          </w:tcPr>
          <w:p w14:paraId="130B20F6">
            <w:pPr>
              <w:jc w:val="left"/>
              <w:rPr>
                <w:color w:val="auto"/>
              </w:rPr>
            </w:pPr>
            <w:r>
              <w:rPr>
                <w:b w:val="0"/>
                <w:bCs w:val="0"/>
                <w:color w:val="auto"/>
                <w:sz w:val="20"/>
                <w:szCs w:val="20"/>
              </w:rPr>
              <w:t>Estimates remaining shelf life</w:t>
            </w:r>
          </w:p>
        </w:tc>
        <w:tc>
          <w:tcPr>
            <w:tcW w:w="3200" w:type="dxa"/>
            <w:shd w:val="clear" w:color="auto" w:fill="F1F1F1" w:themeFill="background1" w:themeFillShade="F2"/>
            <w:tcMar>
              <w:top w:w="100" w:type="dxa"/>
              <w:left w:w="120" w:type="dxa"/>
              <w:bottom w:w="100" w:type="dxa"/>
              <w:right w:w="120" w:type="dxa"/>
            </w:tcMar>
            <w:vAlign w:val="center"/>
          </w:tcPr>
          <w:p w14:paraId="507A8396">
            <w:pPr>
              <w:jc w:val="left"/>
              <w:rPr>
                <w:color w:val="auto"/>
              </w:rPr>
            </w:pPr>
            <w:r>
              <w:rPr>
                <w:b w:val="0"/>
                <w:bCs w:val="0"/>
                <w:color w:val="auto"/>
                <w:sz w:val="20"/>
                <w:szCs w:val="20"/>
              </w:rPr>
              <w:t>Rarely integrated with live tracking data</w:t>
            </w:r>
          </w:p>
        </w:tc>
      </w:tr>
      <w:tr w14:paraId="5BAC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34F1DDB0">
            <w:pPr>
              <w:jc w:val="left"/>
              <w:rPr>
                <w:color w:val="auto"/>
              </w:rPr>
            </w:pPr>
            <w:r>
              <w:rPr>
                <w:b w:val="0"/>
                <w:bCs w:val="0"/>
                <w:color w:val="auto"/>
                <w:sz w:val="20"/>
                <w:szCs w:val="20"/>
              </w:rPr>
              <w:t>RFID logistics tracking</w:t>
            </w:r>
          </w:p>
        </w:tc>
        <w:tc>
          <w:tcPr>
            <w:tcW w:w="3600" w:type="dxa"/>
            <w:shd w:val="clear" w:color="auto" w:fill="F1F1F1" w:themeFill="background1" w:themeFillShade="F2"/>
            <w:tcMar>
              <w:top w:w="100" w:type="dxa"/>
              <w:left w:w="120" w:type="dxa"/>
              <w:bottom w:w="100" w:type="dxa"/>
              <w:right w:w="120" w:type="dxa"/>
            </w:tcMar>
            <w:vAlign w:val="center"/>
          </w:tcPr>
          <w:p w14:paraId="3823BD66">
            <w:pPr>
              <w:jc w:val="left"/>
              <w:rPr>
                <w:color w:val="auto"/>
              </w:rPr>
            </w:pPr>
            <w:r>
              <w:rPr>
                <w:b w:val="0"/>
                <w:bCs w:val="0"/>
                <w:color w:val="auto"/>
                <w:sz w:val="20"/>
                <w:szCs w:val="20"/>
              </w:rPr>
              <w:t>Accurate location/asset visibility</w:t>
            </w:r>
          </w:p>
        </w:tc>
        <w:tc>
          <w:tcPr>
            <w:tcW w:w="3200" w:type="dxa"/>
            <w:shd w:val="clear" w:color="auto" w:fill="F1F1F1" w:themeFill="background1" w:themeFillShade="F2"/>
            <w:tcMar>
              <w:top w:w="100" w:type="dxa"/>
              <w:left w:w="120" w:type="dxa"/>
              <w:bottom w:w="100" w:type="dxa"/>
              <w:right w:w="120" w:type="dxa"/>
            </w:tcMar>
            <w:vAlign w:val="center"/>
          </w:tcPr>
          <w:p w14:paraId="6BC41FF6">
            <w:pPr>
              <w:jc w:val="left"/>
              <w:rPr>
                <w:color w:val="auto"/>
              </w:rPr>
            </w:pPr>
            <w:r>
              <w:rPr>
                <w:b w:val="0"/>
                <w:bCs w:val="0"/>
                <w:color w:val="auto"/>
                <w:sz w:val="20"/>
                <w:szCs w:val="20"/>
              </w:rPr>
              <w:t>No quality or condition awareness</w:t>
            </w:r>
          </w:p>
        </w:tc>
      </w:tr>
    </w:tbl>
    <w:p w14:paraId="414D4F60">
      <w:pPr>
        <w:pStyle w:val="2"/>
        <w:spacing w:before="400" w:after="200"/>
        <w:rPr>
          <w:color w:val="auto"/>
        </w:rPr>
      </w:pPr>
      <w:r>
        <w:rPr>
          <w:b/>
          <w:bCs/>
          <w:color w:val="auto"/>
          <w:sz w:val="30"/>
          <w:szCs w:val="30"/>
        </w:rPr>
        <w:t>5. Proposed System Architecture</w:t>
      </w:r>
    </w:p>
    <w:p w14:paraId="753D510A">
      <w:pPr>
        <w:spacing w:after="160" w:line="300" w:lineRule="auto"/>
        <w:jc w:val="both"/>
        <w:rPr>
          <w:color w:val="auto"/>
        </w:rPr>
      </w:pPr>
      <w:r>
        <w:rPr>
          <w:color w:val="auto"/>
          <w:sz w:val="22"/>
          <w:szCs w:val="22"/>
        </w:rPr>
        <w:t>The platform follows a layered architecture consisting of a Sensing Layer, a Connectivity Layer, a Data &amp; AI Layer, a Blockchain Layer, and an Application Layer. Data flows from physical sensors and tags at the source, through gateways to the cloud, where AI models analyze it and blockchain records anchor critical events, ultimately surfacing insights to stakeholders through dashboards and mobile applications.</w:t>
      </w:r>
    </w:p>
    <w:p w14:paraId="48CF9496">
      <w:pPr>
        <w:pStyle w:val="3"/>
        <w:spacing w:before="280" w:after="140"/>
        <w:rPr>
          <w:color w:val="auto"/>
        </w:rPr>
      </w:pPr>
      <w:r>
        <w:rPr>
          <w:b/>
          <w:bCs/>
          <w:color w:val="auto"/>
          <w:sz w:val="25"/>
          <w:szCs w:val="25"/>
        </w:rPr>
        <w:t>5.1 Architecture Layers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0E54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1F1F1" w:themeFill="background1" w:themeFillShade="F2"/>
            <w:tcMar>
              <w:top w:w="100" w:type="dxa"/>
              <w:left w:w="120" w:type="dxa"/>
              <w:bottom w:w="100" w:type="dxa"/>
              <w:right w:w="120" w:type="dxa"/>
            </w:tcMar>
            <w:vAlign w:val="center"/>
          </w:tcPr>
          <w:p w14:paraId="140069F4">
            <w:pPr>
              <w:jc w:val="left"/>
              <w:rPr>
                <w:color w:val="auto"/>
              </w:rPr>
            </w:pPr>
            <w:r>
              <w:rPr>
                <w:b/>
                <w:bCs/>
                <w:color w:val="auto"/>
                <w:sz w:val="20"/>
                <w:szCs w:val="20"/>
              </w:rPr>
              <w:t>Layer</w:t>
            </w:r>
          </w:p>
        </w:tc>
        <w:tc>
          <w:tcPr>
            <w:tcW w:w="6800" w:type="dxa"/>
            <w:shd w:val="clear" w:color="auto" w:fill="F1F1F1" w:themeFill="background1" w:themeFillShade="F2"/>
            <w:tcMar>
              <w:top w:w="100" w:type="dxa"/>
              <w:left w:w="120" w:type="dxa"/>
              <w:bottom w:w="100" w:type="dxa"/>
              <w:right w:w="120" w:type="dxa"/>
            </w:tcMar>
            <w:vAlign w:val="center"/>
          </w:tcPr>
          <w:p w14:paraId="68291C53">
            <w:pPr>
              <w:jc w:val="left"/>
              <w:rPr>
                <w:color w:val="auto"/>
              </w:rPr>
            </w:pPr>
            <w:r>
              <w:rPr>
                <w:b/>
                <w:bCs/>
                <w:color w:val="auto"/>
                <w:sz w:val="20"/>
                <w:szCs w:val="20"/>
              </w:rPr>
              <w:t>Description</w:t>
            </w:r>
          </w:p>
        </w:tc>
      </w:tr>
      <w:tr w14:paraId="7666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98E672E">
            <w:pPr>
              <w:jc w:val="left"/>
              <w:rPr>
                <w:color w:val="auto"/>
              </w:rPr>
            </w:pPr>
            <w:r>
              <w:rPr>
                <w:b w:val="0"/>
                <w:bCs w:val="0"/>
                <w:color w:val="auto"/>
                <w:sz w:val="20"/>
                <w:szCs w:val="20"/>
              </w:rPr>
              <w:t>Sensing Layer</w:t>
            </w:r>
          </w:p>
        </w:tc>
        <w:tc>
          <w:tcPr>
            <w:tcW w:w="6800" w:type="dxa"/>
            <w:shd w:val="clear" w:color="auto" w:fill="FFFFFF"/>
            <w:tcMar>
              <w:top w:w="100" w:type="dxa"/>
              <w:left w:w="120" w:type="dxa"/>
              <w:bottom w:w="100" w:type="dxa"/>
              <w:right w:w="120" w:type="dxa"/>
            </w:tcMar>
            <w:vAlign w:val="center"/>
          </w:tcPr>
          <w:p w14:paraId="06CB33BE">
            <w:pPr>
              <w:jc w:val="left"/>
              <w:rPr>
                <w:color w:val="auto"/>
              </w:rPr>
            </w:pPr>
            <w:r>
              <w:rPr>
                <w:b w:val="0"/>
                <w:bCs w:val="0"/>
                <w:color w:val="auto"/>
                <w:sz w:val="20"/>
                <w:szCs w:val="20"/>
              </w:rPr>
              <w:t>IoT sensors (temperature, humidity, gas/ethylene, GPS, shock) and RFID/QR tags attached to produce, packaging, or transport units.</w:t>
            </w:r>
          </w:p>
        </w:tc>
      </w:tr>
      <w:tr w14:paraId="74ED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55399B03">
            <w:pPr>
              <w:jc w:val="left"/>
              <w:rPr>
                <w:color w:val="auto"/>
              </w:rPr>
            </w:pPr>
            <w:r>
              <w:rPr>
                <w:b w:val="0"/>
                <w:bCs w:val="0"/>
                <w:color w:val="auto"/>
                <w:sz w:val="20"/>
                <w:szCs w:val="20"/>
              </w:rPr>
              <w:t>Connectivity Layer</w:t>
            </w:r>
          </w:p>
        </w:tc>
        <w:tc>
          <w:tcPr>
            <w:tcW w:w="6800" w:type="dxa"/>
            <w:shd w:val="clear" w:color="auto" w:fill="FFFFFF"/>
            <w:tcMar>
              <w:top w:w="100" w:type="dxa"/>
              <w:left w:w="120" w:type="dxa"/>
              <w:bottom w:w="100" w:type="dxa"/>
              <w:right w:w="120" w:type="dxa"/>
            </w:tcMar>
            <w:vAlign w:val="center"/>
          </w:tcPr>
          <w:p w14:paraId="46516652">
            <w:pPr>
              <w:jc w:val="left"/>
              <w:rPr>
                <w:color w:val="auto"/>
              </w:rPr>
            </w:pPr>
            <w:r>
              <w:rPr>
                <w:b w:val="0"/>
                <w:bCs w:val="0"/>
                <w:color w:val="auto"/>
                <w:sz w:val="20"/>
                <w:szCs w:val="20"/>
              </w:rPr>
              <w:t>Edge gateways, LoRaWAN/NB-IoT/GSM modules, and MQTT protocol transmitting sensor data to the cloud in real time.</w:t>
            </w:r>
          </w:p>
        </w:tc>
      </w:tr>
      <w:tr w14:paraId="12B2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313707FD">
            <w:pPr>
              <w:jc w:val="left"/>
              <w:rPr>
                <w:color w:val="auto"/>
              </w:rPr>
            </w:pPr>
            <w:r>
              <w:rPr>
                <w:b w:val="0"/>
                <w:bCs w:val="0"/>
                <w:color w:val="auto"/>
                <w:sz w:val="20"/>
                <w:szCs w:val="20"/>
              </w:rPr>
              <w:t>Data &amp; AI Layer</w:t>
            </w:r>
          </w:p>
        </w:tc>
        <w:tc>
          <w:tcPr>
            <w:tcW w:w="6800" w:type="dxa"/>
            <w:shd w:val="clear" w:color="auto" w:fill="FFFFFF"/>
            <w:tcMar>
              <w:top w:w="100" w:type="dxa"/>
              <w:left w:w="120" w:type="dxa"/>
              <w:bottom w:w="100" w:type="dxa"/>
              <w:right w:w="120" w:type="dxa"/>
            </w:tcMar>
            <w:vAlign w:val="center"/>
          </w:tcPr>
          <w:p w14:paraId="700CBCDF">
            <w:pPr>
              <w:jc w:val="left"/>
              <w:rPr>
                <w:color w:val="auto"/>
              </w:rPr>
            </w:pPr>
            <w:r>
              <w:rPr>
                <w:b w:val="0"/>
                <w:bCs w:val="0"/>
                <w:color w:val="auto"/>
                <w:sz w:val="20"/>
                <w:szCs w:val="20"/>
              </w:rPr>
              <w:t>Cloud data pipeline that stores time-series data and runs machine learning models for spoilage prediction, anomaly detection, and demand/quality forecasting.</w:t>
            </w:r>
          </w:p>
        </w:tc>
      </w:tr>
      <w:tr w14:paraId="0887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2B1BFAE3">
            <w:pPr>
              <w:jc w:val="left"/>
              <w:rPr>
                <w:color w:val="auto"/>
              </w:rPr>
            </w:pPr>
            <w:r>
              <w:rPr>
                <w:b w:val="0"/>
                <w:bCs w:val="0"/>
                <w:color w:val="auto"/>
                <w:sz w:val="20"/>
                <w:szCs w:val="20"/>
              </w:rPr>
              <w:t>Blockchain Layer</w:t>
            </w:r>
          </w:p>
        </w:tc>
        <w:tc>
          <w:tcPr>
            <w:tcW w:w="6800" w:type="dxa"/>
            <w:shd w:val="clear" w:color="auto" w:fill="FFFFFF"/>
            <w:tcMar>
              <w:top w:w="100" w:type="dxa"/>
              <w:left w:w="120" w:type="dxa"/>
              <w:bottom w:w="100" w:type="dxa"/>
              <w:right w:w="120" w:type="dxa"/>
            </w:tcMar>
            <w:vAlign w:val="center"/>
          </w:tcPr>
          <w:p w14:paraId="0D8E5783">
            <w:pPr>
              <w:jc w:val="left"/>
              <w:rPr>
                <w:color w:val="auto"/>
              </w:rPr>
            </w:pPr>
            <w:r>
              <w:rPr>
                <w:b w:val="0"/>
                <w:bCs w:val="0"/>
                <w:color w:val="auto"/>
                <w:sz w:val="20"/>
                <w:szCs w:val="20"/>
              </w:rPr>
              <w:t>Distributed ledger recording every custody transfer, quality check, and certification as an immutable transaction, enabling origin verification.</w:t>
            </w:r>
          </w:p>
        </w:tc>
      </w:tr>
      <w:tr w14:paraId="5FB8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17EAD3AF">
            <w:pPr>
              <w:jc w:val="left"/>
              <w:rPr>
                <w:color w:val="auto"/>
              </w:rPr>
            </w:pPr>
            <w:r>
              <w:rPr>
                <w:b w:val="0"/>
                <w:bCs w:val="0"/>
                <w:color w:val="auto"/>
                <w:sz w:val="20"/>
                <w:szCs w:val="20"/>
              </w:rPr>
              <w:t>Application Layer</w:t>
            </w:r>
          </w:p>
        </w:tc>
        <w:tc>
          <w:tcPr>
            <w:tcW w:w="6800" w:type="dxa"/>
            <w:shd w:val="clear" w:color="auto" w:fill="FFFFFF"/>
            <w:tcMar>
              <w:top w:w="100" w:type="dxa"/>
              <w:left w:w="120" w:type="dxa"/>
              <w:bottom w:w="100" w:type="dxa"/>
              <w:right w:w="120" w:type="dxa"/>
            </w:tcMar>
            <w:vAlign w:val="center"/>
          </w:tcPr>
          <w:p w14:paraId="2A52DFB6">
            <w:pPr>
              <w:jc w:val="left"/>
              <w:rPr>
                <w:color w:val="auto"/>
              </w:rPr>
            </w:pPr>
            <w:r>
              <w:rPr>
                <w:b w:val="0"/>
                <w:bCs w:val="0"/>
                <w:color w:val="auto"/>
                <w:sz w:val="20"/>
                <w:szCs w:val="20"/>
              </w:rPr>
              <w:t>Web and mobile dashboards, alerting/notification engine, and automated compliance report generator used by farmers, logistics providers, retailers, regulators, and consumers.</w:t>
            </w:r>
          </w:p>
        </w:tc>
      </w:tr>
    </w:tbl>
    <w:p w14:paraId="120C082F">
      <w:pPr>
        <w:pStyle w:val="3"/>
        <w:spacing w:before="280" w:after="140"/>
        <w:rPr>
          <w:b/>
          <w:bCs/>
          <w:color w:val="auto"/>
          <w:sz w:val="25"/>
          <w:szCs w:val="25"/>
        </w:rPr>
      </w:pPr>
    </w:p>
    <w:p w14:paraId="626E23BD">
      <w:pPr>
        <w:pStyle w:val="3"/>
        <w:spacing w:before="280" w:after="140"/>
        <w:rPr>
          <w:b/>
          <w:bCs/>
          <w:color w:val="auto"/>
          <w:sz w:val="25"/>
          <w:szCs w:val="25"/>
        </w:rPr>
      </w:pPr>
    </w:p>
    <w:p w14:paraId="09A627E5">
      <w:pPr>
        <w:pStyle w:val="3"/>
        <w:spacing w:before="280" w:after="140"/>
        <w:rPr>
          <w:color w:val="auto"/>
        </w:rPr>
      </w:pPr>
      <w:r>
        <w:rPr>
          <w:b/>
          <w:bCs/>
          <w:color w:val="auto"/>
          <w:sz w:val="25"/>
          <w:szCs w:val="25"/>
        </w:rPr>
        <w:t>5.2 Data Flow Overview</w:t>
      </w:r>
    </w:p>
    <w:p w14:paraId="072287BB">
      <w:pPr>
        <w:spacing w:after="160" w:line="300" w:lineRule="auto"/>
        <w:jc w:val="both"/>
        <w:rPr>
          <w:color w:val="auto"/>
        </w:rPr>
      </w:pPr>
      <w:r>
        <w:rPr>
          <w:color w:val="auto"/>
          <w:sz w:val="22"/>
          <w:szCs w:val="22"/>
        </w:rPr>
        <w:t>Sensor and RFID data is captured at the point of harvest or packaging and at each subsequent checkpoint (storage facility, transport vehicle, distribution centre, retail store). Each checkpoint reading is transmitted to the cloud, timestamped, and hashed into a blockchain transaction linked to the product's unique identifier. The AI engine continuously evaluates incoming readings against product-specific safe ranges and predictive spoilage models, triggering alerts and updating a live quality score that is visible to every authorized stakeholder for that product.</w:t>
      </w:r>
    </w:p>
    <w:p w14:paraId="663AB44A">
      <w:pPr>
        <w:pStyle w:val="3"/>
        <w:spacing w:before="280" w:after="140"/>
        <w:rPr>
          <w:color w:val="auto"/>
        </w:rPr>
      </w:pPr>
      <w:r>
        <w:rPr>
          <w:b/>
          <w:bCs/>
          <w:color w:val="auto"/>
          <w:sz w:val="25"/>
          <w:szCs w:val="25"/>
        </w:rPr>
        <w:t>5.3 Stakeholder Roles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7F80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F1F1F1" w:themeFill="background1" w:themeFillShade="F2"/>
            <w:tcMar>
              <w:top w:w="100" w:type="dxa"/>
              <w:left w:w="120" w:type="dxa"/>
              <w:bottom w:w="100" w:type="dxa"/>
              <w:right w:w="120" w:type="dxa"/>
            </w:tcMar>
            <w:vAlign w:val="center"/>
          </w:tcPr>
          <w:p w14:paraId="2C7C77BC">
            <w:pPr>
              <w:jc w:val="left"/>
              <w:rPr>
                <w:color w:val="auto"/>
              </w:rPr>
            </w:pPr>
            <w:r>
              <w:rPr>
                <w:b/>
                <w:bCs/>
                <w:color w:val="auto"/>
                <w:sz w:val="20"/>
                <w:szCs w:val="20"/>
              </w:rPr>
              <w:t>Stakeholder</w:t>
            </w:r>
          </w:p>
        </w:tc>
        <w:tc>
          <w:tcPr>
            <w:tcW w:w="6800" w:type="dxa"/>
            <w:shd w:val="clear" w:color="auto" w:fill="F1F1F1" w:themeFill="background1" w:themeFillShade="F2"/>
            <w:tcMar>
              <w:top w:w="100" w:type="dxa"/>
              <w:left w:w="120" w:type="dxa"/>
              <w:bottom w:w="100" w:type="dxa"/>
              <w:right w:w="120" w:type="dxa"/>
            </w:tcMar>
            <w:vAlign w:val="center"/>
          </w:tcPr>
          <w:p w14:paraId="69369503">
            <w:pPr>
              <w:jc w:val="left"/>
              <w:rPr>
                <w:color w:val="auto"/>
              </w:rPr>
            </w:pPr>
            <w:r>
              <w:rPr>
                <w:b/>
                <w:bCs/>
                <w:color w:val="auto"/>
                <w:sz w:val="20"/>
                <w:szCs w:val="20"/>
              </w:rPr>
              <w:t>Role in the Platform</w:t>
            </w:r>
          </w:p>
        </w:tc>
      </w:tr>
      <w:tr w14:paraId="2873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5ED8E6E">
            <w:pPr>
              <w:jc w:val="left"/>
              <w:rPr>
                <w:color w:val="auto"/>
              </w:rPr>
            </w:pPr>
            <w:r>
              <w:rPr>
                <w:b w:val="0"/>
                <w:bCs w:val="0"/>
                <w:color w:val="auto"/>
                <w:sz w:val="20"/>
                <w:szCs w:val="20"/>
              </w:rPr>
              <w:t>Farmer / Producer</w:t>
            </w:r>
          </w:p>
        </w:tc>
        <w:tc>
          <w:tcPr>
            <w:tcW w:w="6800" w:type="dxa"/>
            <w:shd w:val="clear" w:color="auto" w:fill="FFFFFF"/>
            <w:tcMar>
              <w:top w:w="100" w:type="dxa"/>
              <w:left w:w="120" w:type="dxa"/>
              <w:bottom w:w="100" w:type="dxa"/>
              <w:right w:w="120" w:type="dxa"/>
            </w:tcMar>
            <w:vAlign w:val="center"/>
          </w:tcPr>
          <w:p w14:paraId="78D9D0C7">
            <w:pPr>
              <w:jc w:val="left"/>
              <w:rPr>
                <w:color w:val="auto"/>
              </w:rPr>
            </w:pPr>
            <w:r>
              <w:rPr>
                <w:b w:val="0"/>
                <w:bCs w:val="0"/>
                <w:color w:val="auto"/>
                <w:sz w:val="20"/>
                <w:szCs w:val="20"/>
              </w:rPr>
              <w:t>Registers product batches, records harvest and certification details.</w:t>
            </w:r>
          </w:p>
        </w:tc>
      </w:tr>
      <w:tr w14:paraId="0C74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069F1E21">
            <w:pPr>
              <w:jc w:val="left"/>
              <w:rPr>
                <w:color w:val="auto"/>
              </w:rPr>
            </w:pPr>
            <w:r>
              <w:rPr>
                <w:b w:val="0"/>
                <w:bCs w:val="0"/>
                <w:color w:val="auto"/>
                <w:sz w:val="20"/>
                <w:szCs w:val="20"/>
              </w:rPr>
              <w:t>Logistics Provider</w:t>
            </w:r>
          </w:p>
        </w:tc>
        <w:tc>
          <w:tcPr>
            <w:tcW w:w="6800" w:type="dxa"/>
            <w:shd w:val="clear" w:color="auto" w:fill="FFFFFF"/>
            <w:tcMar>
              <w:top w:w="100" w:type="dxa"/>
              <w:left w:w="120" w:type="dxa"/>
              <w:bottom w:w="100" w:type="dxa"/>
              <w:right w:w="120" w:type="dxa"/>
            </w:tcMar>
            <w:vAlign w:val="center"/>
          </w:tcPr>
          <w:p w14:paraId="35E92191">
            <w:pPr>
              <w:jc w:val="left"/>
              <w:rPr>
                <w:color w:val="auto"/>
              </w:rPr>
            </w:pPr>
            <w:r>
              <w:rPr>
                <w:b w:val="0"/>
                <w:bCs w:val="0"/>
                <w:color w:val="auto"/>
                <w:sz w:val="20"/>
                <w:szCs w:val="20"/>
              </w:rPr>
              <w:t>Monitors transport conditions, updates custody status at each checkpoint.</w:t>
            </w:r>
          </w:p>
        </w:tc>
      </w:tr>
      <w:tr w14:paraId="2D74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12912CD0">
            <w:pPr>
              <w:jc w:val="left"/>
              <w:rPr>
                <w:color w:val="auto"/>
              </w:rPr>
            </w:pPr>
            <w:r>
              <w:rPr>
                <w:b w:val="0"/>
                <w:bCs w:val="0"/>
                <w:color w:val="auto"/>
                <w:sz w:val="20"/>
                <w:szCs w:val="20"/>
              </w:rPr>
              <w:t>Warehouse / Cold Storage Operator</w:t>
            </w:r>
          </w:p>
        </w:tc>
        <w:tc>
          <w:tcPr>
            <w:tcW w:w="6800" w:type="dxa"/>
            <w:shd w:val="clear" w:color="auto" w:fill="FFFFFF"/>
            <w:tcMar>
              <w:top w:w="100" w:type="dxa"/>
              <w:left w:w="120" w:type="dxa"/>
              <w:bottom w:w="100" w:type="dxa"/>
              <w:right w:w="120" w:type="dxa"/>
            </w:tcMar>
            <w:vAlign w:val="center"/>
          </w:tcPr>
          <w:p w14:paraId="3825FC2B">
            <w:pPr>
              <w:jc w:val="left"/>
              <w:rPr>
                <w:color w:val="auto"/>
              </w:rPr>
            </w:pPr>
            <w:r>
              <w:rPr>
                <w:b w:val="0"/>
                <w:bCs w:val="0"/>
                <w:color w:val="auto"/>
                <w:sz w:val="20"/>
                <w:szCs w:val="20"/>
              </w:rPr>
              <w:t>Manages storage conditions, receives optimization recommendations.</w:t>
            </w:r>
          </w:p>
        </w:tc>
      </w:tr>
      <w:tr w14:paraId="0253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5A1793F3">
            <w:pPr>
              <w:jc w:val="left"/>
              <w:rPr>
                <w:color w:val="auto"/>
              </w:rPr>
            </w:pPr>
            <w:r>
              <w:rPr>
                <w:b w:val="0"/>
                <w:bCs w:val="0"/>
                <w:color w:val="auto"/>
                <w:sz w:val="20"/>
                <w:szCs w:val="20"/>
              </w:rPr>
              <w:t>Retailer</w:t>
            </w:r>
          </w:p>
        </w:tc>
        <w:tc>
          <w:tcPr>
            <w:tcW w:w="6800" w:type="dxa"/>
            <w:shd w:val="clear" w:color="auto" w:fill="FFFFFF"/>
            <w:tcMar>
              <w:top w:w="100" w:type="dxa"/>
              <w:left w:w="120" w:type="dxa"/>
              <w:bottom w:w="100" w:type="dxa"/>
              <w:right w:w="120" w:type="dxa"/>
            </w:tcMar>
            <w:vAlign w:val="center"/>
          </w:tcPr>
          <w:p w14:paraId="54D3B846">
            <w:pPr>
              <w:jc w:val="left"/>
              <w:rPr>
                <w:color w:val="auto"/>
              </w:rPr>
            </w:pPr>
            <w:r>
              <w:rPr>
                <w:b w:val="0"/>
                <w:bCs w:val="0"/>
                <w:color w:val="auto"/>
                <w:sz w:val="20"/>
                <w:szCs w:val="20"/>
              </w:rPr>
              <w:t>Verifies incoming batch quality and origin before shelving products.</w:t>
            </w:r>
          </w:p>
        </w:tc>
      </w:tr>
      <w:tr w14:paraId="79D1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6BF72A39">
            <w:pPr>
              <w:jc w:val="left"/>
              <w:rPr>
                <w:color w:val="auto"/>
              </w:rPr>
            </w:pPr>
            <w:r>
              <w:rPr>
                <w:b w:val="0"/>
                <w:bCs w:val="0"/>
                <w:color w:val="auto"/>
                <w:sz w:val="20"/>
                <w:szCs w:val="20"/>
              </w:rPr>
              <w:t>Regulator</w:t>
            </w:r>
          </w:p>
        </w:tc>
        <w:tc>
          <w:tcPr>
            <w:tcW w:w="6800" w:type="dxa"/>
            <w:shd w:val="clear" w:color="auto" w:fill="FFFFFF"/>
            <w:tcMar>
              <w:top w:w="100" w:type="dxa"/>
              <w:left w:w="120" w:type="dxa"/>
              <w:bottom w:w="100" w:type="dxa"/>
              <w:right w:w="120" w:type="dxa"/>
            </w:tcMar>
            <w:vAlign w:val="center"/>
          </w:tcPr>
          <w:p w14:paraId="6B3B7EFD">
            <w:pPr>
              <w:jc w:val="left"/>
              <w:rPr>
                <w:color w:val="auto"/>
              </w:rPr>
            </w:pPr>
            <w:r>
              <w:rPr>
                <w:b w:val="0"/>
                <w:bCs w:val="0"/>
                <w:color w:val="auto"/>
                <w:sz w:val="20"/>
                <w:szCs w:val="20"/>
              </w:rPr>
              <w:t>Accesses compliance reports and traceability records for audits.</w:t>
            </w:r>
          </w:p>
        </w:tc>
      </w:tr>
      <w:tr w14:paraId="5609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D867964">
            <w:pPr>
              <w:jc w:val="left"/>
              <w:rPr>
                <w:color w:val="auto"/>
              </w:rPr>
            </w:pPr>
            <w:r>
              <w:rPr>
                <w:b w:val="0"/>
                <w:bCs w:val="0"/>
                <w:color w:val="auto"/>
                <w:sz w:val="20"/>
                <w:szCs w:val="20"/>
              </w:rPr>
              <w:t>Consumer</w:t>
            </w:r>
          </w:p>
        </w:tc>
        <w:tc>
          <w:tcPr>
            <w:tcW w:w="6800" w:type="dxa"/>
            <w:shd w:val="clear" w:color="auto" w:fill="FFFFFF"/>
            <w:tcMar>
              <w:top w:w="100" w:type="dxa"/>
              <w:left w:w="120" w:type="dxa"/>
              <w:bottom w:w="100" w:type="dxa"/>
              <w:right w:w="120" w:type="dxa"/>
            </w:tcMar>
            <w:vAlign w:val="center"/>
          </w:tcPr>
          <w:p w14:paraId="104CE53D">
            <w:pPr>
              <w:jc w:val="left"/>
              <w:rPr>
                <w:color w:val="auto"/>
              </w:rPr>
            </w:pPr>
            <w:r>
              <w:rPr>
                <w:b w:val="0"/>
                <w:bCs w:val="0"/>
                <w:color w:val="auto"/>
                <w:sz w:val="20"/>
                <w:szCs w:val="20"/>
              </w:rPr>
              <w:t>Scans product code to view verified origin, journey, and quality score.</w:t>
            </w:r>
          </w:p>
        </w:tc>
      </w:tr>
    </w:tbl>
    <w:p w14:paraId="260A5CC1">
      <w:pPr>
        <w:pStyle w:val="2"/>
        <w:spacing w:before="400" w:after="200"/>
        <w:rPr>
          <w:color w:val="auto"/>
        </w:rPr>
      </w:pPr>
      <w:r>
        <w:rPr>
          <w:b/>
          <w:bCs/>
          <w:color w:val="auto"/>
          <w:sz w:val="30"/>
          <w:szCs w:val="30"/>
        </w:rPr>
        <w:t>6. Technology Stack</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1315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5A141B38">
            <w:pPr>
              <w:jc w:val="left"/>
              <w:rPr>
                <w:color w:val="auto"/>
              </w:rPr>
            </w:pPr>
            <w:r>
              <w:rPr>
                <w:b/>
                <w:bCs/>
                <w:color w:val="auto"/>
                <w:sz w:val="20"/>
                <w:szCs w:val="20"/>
              </w:rPr>
              <w:t>Category</w:t>
            </w:r>
          </w:p>
        </w:tc>
        <w:tc>
          <w:tcPr>
            <w:tcW w:w="6600" w:type="dxa"/>
            <w:shd w:val="clear" w:color="auto" w:fill="F1F1F1" w:themeFill="background1" w:themeFillShade="F2"/>
            <w:tcMar>
              <w:top w:w="100" w:type="dxa"/>
              <w:left w:w="120" w:type="dxa"/>
              <w:bottom w:w="100" w:type="dxa"/>
              <w:right w:w="120" w:type="dxa"/>
            </w:tcMar>
            <w:vAlign w:val="center"/>
          </w:tcPr>
          <w:p w14:paraId="0ABF5444">
            <w:pPr>
              <w:jc w:val="left"/>
              <w:rPr>
                <w:color w:val="auto"/>
              </w:rPr>
            </w:pPr>
            <w:r>
              <w:rPr>
                <w:b/>
                <w:bCs/>
                <w:color w:val="auto"/>
                <w:sz w:val="20"/>
                <w:szCs w:val="20"/>
              </w:rPr>
              <w:t>Technologies</w:t>
            </w:r>
          </w:p>
        </w:tc>
      </w:tr>
      <w:tr w14:paraId="5436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69BEAB3D">
            <w:pPr>
              <w:jc w:val="left"/>
              <w:rPr>
                <w:color w:val="auto"/>
              </w:rPr>
            </w:pPr>
            <w:r>
              <w:rPr>
                <w:b w:val="0"/>
                <w:bCs w:val="0"/>
                <w:color w:val="auto"/>
                <w:sz w:val="20"/>
                <w:szCs w:val="20"/>
              </w:rPr>
              <w:t>IoT Hardware</w:t>
            </w:r>
          </w:p>
        </w:tc>
        <w:tc>
          <w:tcPr>
            <w:tcW w:w="6600" w:type="dxa"/>
            <w:shd w:val="clear" w:color="auto" w:fill="FFFFFF"/>
            <w:tcMar>
              <w:top w:w="100" w:type="dxa"/>
              <w:left w:w="120" w:type="dxa"/>
              <w:bottom w:w="100" w:type="dxa"/>
              <w:right w:w="120" w:type="dxa"/>
            </w:tcMar>
            <w:vAlign w:val="center"/>
          </w:tcPr>
          <w:p w14:paraId="48F34ECC">
            <w:pPr>
              <w:jc w:val="left"/>
              <w:rPr>
                <w:color w:val="auto"/>
              </w:rPr>
            </w:pPr>
            <w:r>
              <w:rPr>
                <w:b w:val="0"/>
                <w:bCs w:val="0"/>
                <w:color w:val="auto"/>
                <w:sz w:val="20"/>
                <w:szCs w:val="20"/>
              </w:rPr>
              <w:t>DHT22/SHT31 temperature-humidity sensors, MQ-series gas sensors, GPS modules, RFID tags &amp; readers, ESP32/Raspberry Pi edge devices</w:t>
            </w:r>
          </w:p>
        </w:tc>
      </w:tr>
      <w:tr w14:paraId="3796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26402CDE">
            <w:pPr>
              <w:jc w:val="left"/>
              <w:rPr>
                <w:color w:val="auto"/>
              </w:rPr>
            </w:pPr>
            <w:r>
              <w:rPr>
                <w:b w:val="0"/>
                <w:bCs w:val="0"/>
                <w:color w:val="auto"/>
                <w:sz w:val="20"/>
                <w:szCs w:val="20"/>
              </w:rPr>
              <w:t>Connectivity</w:t>
            </w:r>
          </w:p>
        </w:tc>
        <w:tc>
          <w:tcPr>
            <w:tcW w:w="6600" w:type="dxa"/>
            <w:shd w:val="clear" w:color="auto" w:fill="FFFFFF"/>
            <w:tcMar>
              <w:top w:w="100" w:type="dxa"/>
              <w:left w:w="120" w:type="dxa"/>
              <w:bottom w:w="100" w:type="dxa"/>
              <w:right w:w="120" w:type="dxa"/>
            </w:tcMar>
            <w:vAlign w:val="center"/>
          </w:tcPr>
          <w:p w14:paraId="5E97175C">
            <w:pPr>
              <w:jc w:val="left"/>
              <w:rPr>
                <w:color w:val="auto"/>
              </w:rPr>
            </w:pPr>
            <w:r>
              <w:rPr>
                <w:b w:val="0"/>
                <w:bCs w:val="0"/>
                <w:color w:val="auto"/>
                <w:sz w:val="20"/>
                <w:szCs w:val="20"/>
              </w:rPr>
              <w:t>MQTT, LoRaWAN, NB-IoT, 4G/5G, Wi-Fi</w:t>
            </w:r>
          </w:p>
        </w:tc>
      </w:tr>
      <w:tr w14:paraId="05FB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09A755C2">
            <w:pPr>
              <w:jc w:val="left"/>
              <w:rPr>
                <w:color w:val="auto"/>
              </w:rPr>
            </w:pPr>
            <w:r>
              <w:rPr>
                <w:b w:val="0"/>
                <w:bCs w:val="0"/>
                <w:color w:val="auto"/>
                <w:sz w:val="20"/>
                <w:szCs w:val="20"/>
              </w:rPr>
              <w:t>Backend</w:t>
            </w:r>
          </w:p>
        </w:tc>
        <w:tc>
          <w:tcPr>
            <w:tcW w:w="6600" w:type="dxa"/>
            <w:shd w:val="clear" w:color="auto" w:fill="FFFFFF"/>
            <w:tcMar>
              <w:top w:w="100" w:type="dxa"/>
              <w:left w:w="120" w:type="dxa"/>
              <w:bottom w:w="100" w:type="dxa"/>
              <w:right w:w="120" w:type="dxa"/>
            </w:tcMar>
            <w:vAlign w:val="center"/>
          </w:tcPr>
          <w:p w14:paraId="4AA30993">
            <w:pPr>
              <w:jc w:val="left"/>
              <w:rPr>
                <w:color w:val="auto"/>
              </w:rPr>
            </w:pPr>
            <w:r>
              <w:rPr>
                <w:b w:val="0"/>
                <w:bCs w:val="0"/>
                <w:color w:val="auto"/>
                <w:sz w:val="20"/>
                <w:szCs w:val="20"/>
              </w:rPr>
              <w:t>Python (FastAPI/Django) or Node.js, REST/GraphQL APIs</w:t>
            </w:r>
          </w:p>
        </w:tc>
      </w:tr>
      <w:tr w14:paraId="75BD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6B65FD31">
            <w:pPr>
              <w:jc w:val="left"/>
              <w:rPr>
                <w:color w:val="auto"/>
              </w:rPr>
            </w:pPr>
            <w:r>
              <w:rPr>
                <w:b w:val="0"/>
                <w:bCs w:val="0"/>
                <w:color w:val="auto"/>
                <w:sz w:val="20"/>
                <w:szCs w:val="20"/>
              </w:rPr>
              <w:t>AI / Machine Learning</w:t>
            </w:r>
          </w:p>
        </w:tc>
        <w:tc>
          <w:tcPr>
            <w:tcW w:w="6600" w:type="dxa"/>
            <w:shd w:val="clear" w:color="auto" w:fill="FFFFFF"/>
            <w:tcMar>
              <w:top w:w="100" w:type="dxa"/>
              <w:left w:w="120" w:type="dxa"/>
              <w:bottom w:w="100" w:type="dxa"/>
              <w:right w:w="120" w:type="dxa"/>
            </w:tcMar>
            <w:vAlign w:val="center"/>
          </w:tcPr>
          <w:p w14:paraId="2BA6023A">
            <w:pPr>
              <w:jc w:val="left"/>
              <w:rPr>
                <w:color w:val="auto"/>
              </w:rPr>
            </w:pPr>
            <w:r>
              <w:rPr>
                <w:b w:val="0"/>
                <w:bCs w:val="0"/>
                <w:color w:val="auto"/>
                <w:sz w:val="20"/>
                <w:szCs w:val="20"/>
              </w:rPr>
              <w:t>Python, TensorFlow/PyTorch, Scikit-learn, Pandas, time-series forecasting (LSTM, ARIMA), classification models</w:t>
            </w:r>
          </w:p>
        </w:tc>
      </w:tr>
      <w:tr w14:paraId="5DE4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77D42017">
            <w:pPr>
              <w:jc w:val="left"/>
              <w:rPr>
                <w:color w:val="auto"/>
              </w:rPr>
            </w:pPr>
            <w:r>
              <w:rPr>
                <w:b w:val="0"/>
                <w:bCs w:val="0"/>
                <w:color w:val="auto"/>
                <w:sz w:val="20"/>
                <w:szCs w:val="20"/>
              </w:rPr>
              <w:t>Blockchain</w:t>
            </w:r>
          </w:p>
        </w:tc>
        <w:tc>
          <w:tcPr>
            <w:tcW w:w="6600" w:type="dxa"/>
            <w:shd w:val="clear" w:color="auto" w:fill="FFFFFF"/>
            <w:tcMar>
              <w:top w:w="100" w:type="dxa"/>
              <w:left w:w="120" w:type="dxa"/>
              <w:bottom w:w="100" w:type="dxa"/>
              <w:right w:w="120" w:type="dxa"/>
            </w:tcMar>
            <w:vAlign w:val="center"/>
          </w:tcPr>
          <w:p w14:paraId="2729CC11">
            <w:pPr>
              <w:jc w:val="left"/>
              <w:rPr>
                <w:color w:val="auto"/>
              </w:rPr>
            </w:pPr>
            <w:r>
              <w:rPr>
                <w:b w:val="0"/>
                <w:bCs w:val="0"/>
                <w:color w:val="auto"/>
                <w:sz w:val="20"/>
                <w:szCs w:val="20"/>
              </w:rPr>
              <w:t>Hyperledger Fabric or Ethereum (private/consortium network), Solidity smart contracts</w:t>
            </w:r>
          </w:p>
        </w:tc>
      </w:tr>
      <w:tr w14:paraId="2226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50092A05">
            <w:pPr>
              <w:jc w:val="left"/>
              <w:rPr>
                <w:color w:val="auto"/>
              </w:rPr>
            </w:pPr>
            <w:r>
              <w:rPr>
                <w:b w:val="0"/>
                <w:bCs w:val="0"/>
                <w:color w:val="auto"/>
                <w:sz w:val="20"/>
                <w:szCs w:val="20"/>
              </w:rPr>
              <w:t>Database</w:t>
            </w:r>
          </w:p>
        </w:tc>
        <w:tc>
          <w:tcPr>
            <w:tcW w:w="6600" w:type="dxa"/>
            <w:shd w:val="clear" w:color="auto" w:fill="FFFFFF"/>
            <w:tcMar>
              <w:top w:w="100" w:type="dxa"/>
              <w:left w:w="120" w:type="dxa"/>
              <w:bottom w:w="100" w:type="dxa"/>
              <w:right w:w="120" w:type="dxa"/>
            </w:tcMar>
            <w:vAlign w:val="center"/>
          </w:tcPr>
          <w:p w14:paraId="0A6E0BB9">
            <w:pPr>
              <w:jc w:val="left"/>
              <w:rPr>
                <w:color w:val="auto"/>
              </w:rPr>
            </w:pPr>
            <w:r>
              <w:rPr>
                <w:b w:val="0"/>
                <w:bCs w:val="0"/>
                <w:color w:val="auto"/>
                <w:sz w:val="20"/>
                <w:szCs w:val="20"/>
              </w:rPr>
              <w:t>PostgreSQL / MongoDB for operational data, InfluxDB for time-series sensor data</w:t>
            </w:r>
          </w:p>
        </w:tc>
      </w:tr>
      <w:tr w14:paraId="06AF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795EBE65">
            <w:pPr>
              <w:jc w:val="left"/>
              <w:rPr>
                <w:color w:val="auto"/>
              </w:rPr>
            </w:pPr>
            <w:r>
              <w:rPr>
                <w:b w:val="0"/>
                <w:bCs w:val="0"/>
                <w:color w:val="auto"/>
                <w:sz w:val="20"/>
                <w:szCs w:val="20"/>
              </w:rPr>
              <w:t>Cloud &amp; DevOps</w:t>
            </w:r>
          </w:p>
        </w:tc>
        <w:tc>
          <w:tcPr>
            <w:tcW w:w="6600" w:type="dxa"/>
            <w:shd w:val="clear" w:color="auto" w:fill="FFFFFF"/>
            <w:tcMar>
              <w:top w:w="100" w:type="dxa"/>
              <w:left w:w="120" w:type="dxa"/>
              <w:bottom w:w="100" w:type="dxa"/>
              <w:right w:w="120" w:type="dxa"/>
            </w:tcMar>
            <w:vAlign w:val="center"/>
          </w:tcPr>
          <w:p w14:paraId="2DC0BC65">
            <w:pPr>
              <w:jc w:val="left"/>
              <w:rPr>
                <w:color w:val="auto"/>
              </w:rPr>
            </w:pPr>
            <w:r>
              <w:rPr>
                <w:b w:val="0"/>
                <w:bCs w:val="0"/>
                <w:color w:val="auto"/>
                <w:sz w:val="20"/>
                <w:szCs w:val="20"/>
              </w:rPr>
              <w:t>AWS / Azure / GCP, Docker, Kubernetes, CI/CD pipelines</w:t>
            </w:r>
          </w:p>
        </w:tc>
      </w:tr>
      <w:tr w14:paraId="1206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1D6979E6">
            <w:pPr>
              <w:jc w:val="left"/>
              <w:rPr>
                <w:color w:val="auto"/>
              </w:rPr>
            </w:pPr>
            <w:r>
              <w:rPr>
                <w:b w:val="0"/>
                <w:bCs w:val="0"/>
                <w:color w:val="auto"/>
                <w:sz w:val="20"/>
                <w:szCs w:val="20"/>
              </w:rPr>
              <w:t>Frontend</w:t>
            </w:r>
          </w:p>
        </w:tc>
        <w:tc>
          <w:tcPr>
            <w:tcW w:w="6600" w:type="dxa"/>
            <w:shd w:val="clear" w:color="auto" w:fill="FFFFFF"/>
            <w:tcMar>
              <w:top w:w="100" w:type="dxa"/>
              <w:left w:w="120" w:type="dxa"/>
              <w:bottom w:w="100" w:type="dxa"/>
              <w:right w:w="120" w:type="dxa"/>
            </w:tcMar>
            <w:vAlign w:val="center"/>
          </w:tcPr>
          <w:p w14:paraId="623BDC0C">
            <w:pPr>
              <w:jc w:val="left"/>
              <w:rPr>
                <w:color w:val="auto"/>
              </w:rPr>
            </w:pPr>
            <w:r>
              <w:rPr>
                <w:b w:val="0"/>
                <w:bCs w:val="0"/>
                <w:color w:val="auto"/>
                <w:sz w:val="20"/>
                <w:szCs w:val="20"/>
              </w:rPr>
              <w:t>React.js / Flutter for web and mobile dashboards</w:t>
            </w:r>
          </w:p>
        </w:tc>
      </w:tr>
      <w:tr w14:paraId="784F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0392A94C">
            <w:pPr>
              <w:jc w:val="left"/>
              <w:rPr>
                <w:color w:val="auto"/>
              </w:rPr>
            </w:pPr>
            <w:r>
              <w:rPr>
                <w:b w:val="0"/>
                <w:bCs w:val="0"/>
                <w:color w:val="auto"/>
                <w:sz w:val="20"/>
                <w:szCs w:val="20"/>
              </w:rPr>
              <w:t>Notifications</w:t>
            </w:r>
          </w:p>
        </w:tc>
        <w:tc>
          <w:tcPr>
            <w:tcW w:w="6600" w:type="dxa"/>
            <w:shd w:val="clear" w:color="auto" w:fill="FFFFFF"/>
            <w:tcMar>
              <w:top w:w="100" w:type="dxa"/>
              <w:left w:w="120" w:type="dxa"/>
              <w:bottom w:w="100" w:type="dxa"/>
              <w:right w:w="120" w:type="dxa"/>
            </w:tcMar>
            <w:vAlign w:val="center"/>
          </w:tcPr>
          <w:p w14:paraId="4B2930BD">
            <w:pPr>
              <w:jc w:val="left"/>
              <w:rPr>
                <w:color w:val="auto"/>
              </w:rPr>
            </w:pPr>
            <w:r>
              <w:rPr>
                <w:b w:val="0"/>
                <w:bCs w:val="0"/>
                <w:color w:val="auto"/>
                <w:sz w:val="20"/>
                <w:szCs w:val="20"/>
              </w:rPr>
              <w:t>Firebase Cloud Messaging, Twilio SMS, email/webhook alerts</w:t>
            </w:r>
          </w:p>
        </w:tc>
      </w:tr>
    </w:tbl>
    <w:p w14:paraId="7A45ECDE">
      <w:pPr>
        <w:pStyle w:val="3"/>
        <w:spacing w:before="280" w:after="140"/>
        <w:rPr>
          <w:b/>
          <w:bCs/>
          <w:color w:val="auto"/>
          <w:sz w:val="25"/>
          <w:szCs w:val="25"/>
        </w:rPr>
      </w:pPr>
    </w:p>
    <w:p w14:paraId="145CB3B5">
      <w:pPr>
        <w:pStyle w:val="3"/>
        <w:spacing w:before="280" w:after="140"/>
        <w:rPr>
          <w:color w:val="auto"/>
        </w:rPr>
      </w:pPr>
      <w:r>
        <w:rPr>
          <w:b/>
          <w:bCs/>
          <w:color w:val="auto"/>
          <w:sz w:val="25"/>
          <w:szCs w:val="25"/>
        </w:rPr>
        <w:t>6.1 Hardware Requirements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800"/>
      </w:tblGrid>
      <w:tr w14:paraId="2879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1F1F1" w:themeFill="background1" w:themeFillShade="F2"/>
            <w:tcMar>
              <w:top w:w="100" w:type="dxa"/>
              <w:left w:w="120" w:type="dxa"/>
              <w:bottom w:w="100" w:type="dxa"/>
              <w:right w:w="120" w:type="dxa"/>
            </w:tcMar>
            <w:vAlign w:val="center"/>
          </w:tcPr>
          <w:p w14:paraId="5ABB2A0B">
            <w:pPr>
              <w:jc w:val="left"/>
              <w:rPr>
                <w:color w:val="auto"/>
              </w:rPr>
            </w:pPr>
            <w:r>
              <w:rPr>
                <w:b/>
                <w:bCs/>
                <w:color w:val="auto"/>
                <w:sz w:val="20"/>
                <w:szCs w:val="20"/>
              </w:rPr>
              <w:t>Component</w:t>
            </w:r>
          </w:p>
        </w:tc>
        <w:tc>
          <w:tcPr>
            <w:tcW w:w="5800" w:type="dxa"/>
            <w:shd w:val="clear" w:color="auto" w:fill="F1F1F1" w:themeFill="background1" w:themeFillShade="F2"/>
            <w:tcMar>
              <w:top w:w="100" w:type="dxa"/>
              <w:left w:w="120" w:type="dxa"/>
              <w:bottom w:w="100" w:type="dxa"/>
              <w:right w:w="120" w:type="dxa"/>
            </w:tcMar>
            <w:vAlign w:val="center"/>
          </w:tcPr>
          <w:p w14:paraId="477A90D6">
            <w:pPr>
              <w:jc w:val="left"/>
              <w:rPr>
                <w:color w:val="auto"/>
              </w:rPr>
            </w:pPr>
            <w:r>
              <w:rPr>
                <w:b/>
                <w:bCs/>
                <w:color w:val="auto"/>
                <w:sz w:val="20"/>
                <w:szCs w:val="20"/>
              </w:rPr>
              <w:t>Specification</w:t>
            </w:r>
          </w:p>
        </w:tc>
      </w:tr>
      <w:tr w14:paraId="6E1E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0E219E54">
            <w:pPr>
              <w:jc w:val="left"/>
              <w:rPr>
                <w:color w:val="auto"/>
              </w:rPr>
            </w:pPr>
            <w:r>
              <w:rPr>
                <w:b w:val="0"/>
                <w:bCs w:val="0"/>
                <w:color w:val="auto"/>
                <w:sz w:val="20"/>
                <w:szCs w:val="20"/>
              </w:rPr>
              <w:t>Microcontroller / Edge Device</w:t>
            </w:r>
          </w:p>
        </w:tc>
        <w:tc>
          <w:tcPr>
            <w:tcW w:w="5800" w:type="dxa"/>
            <w:shd w:val="clear" w:color="auto" w:fill="FFFFFF"/>
            <w:tcMar>
              <w:top w:w="100" w:type="dxa"/>
              <w:left w:w="120" w:type="dxa"/>
              <w:bottom w:w="100" w:type="dxa"/>
              <w:right w:w="120" w:type="dxa"/>
            </w:tcMar>
            <w:vAlign w:val="center"/>
          </w:tcPr>
          <w:p w14:paraId="3CDA123B">
            <w:pPr>
              <w:jc w:val="left"/>
              <w:rPr>
                <w:color w:val="auto"/>
              </w:rPr>
            </w:pPr>
            <w:r>
              <w:rPr>
                <w:b w:val="0"/>
                <w:bCs w:val="0"/>
                <w:color w:val="auto"/>
                <w:sz w:val="20"/>
                <w:szCs w:val="20"/>
              </w:rPr>
              <w:t>ESP32 / Raspberry Pi 4 (Wi-Fi + Bluetooth enabled)</w:t>
            </w:r>
          </w:p>
        </w:tc>
      </w:tr>
      <w:tr w14:paraId="20F3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216CE45A">
            <w:pPr>
              <w:jc w:val="left"/>
              <w:rPr>
                <w:color w:val="auto"/>
              </w:rPr>
            </w:pPr>
            <w:r>
              <w:rPr>
                <w:b w:val="0"/>
                <w:bCs w:val="0"/>
                <w:color w:val="auto"/>
                <w:sz w:val="20"/>
                <w:szCs w:val="20"/>
              </w:rPr>
              <w:t>Temperature &amp; Humidity Sensor</w:t>
            </w:r>
          </w:p>
        </w:tc>
        <w:tc>
          <w:tcPr>
            <w:tcW w:w="5800" w:type="dxa"/>
            <w:shd w:val="clear" w:color="auto" w:fill="FFFFFF"/>
            <w:tcMar>
              <w:top w:w="100" w:type="dxa"/>
              <w:left w:w="120" w:type="dxa"/>
              <w:bottom w:w="100" w:type="dxa"/>
              <w:right w:w="120" w:type="dxa"/>
            </w:tcMar>
            <w:vAlign w:val="center"/>
          </w:tcPr>
          <w:p w14:paraId="437965D4">
            <w:pPr>
              <w:jc w:val="left"/>
              <w:rPr>
                <w:color w:val="auto"/>
              </w:rPr>
            </w:pPr>
            <w:r>
              <w:rPr>
                <w:b w:val="0"/>
                <w:bCs w:val="0"/>
                <w:color w:val="auto"/>
                <w:sz w:val="20"/>
                <w:szCs w:val="20"/>
              </w:rPr>
              <w:t>DHT22 or SHT31 (accuracy ±0.3°C, ±2% RH)</w:t>
            </w:r>
          </w:p>
        </w:tc>
      </w:tr>
      <w:tr w14:paraId="21C8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3CEB4AAB">
            <w:pPr>
              <w:jc w:val="left"/>
              <w:rPr>
                <w:color w:val="auto"/>
              </w:rPr>
            </w:pPr>
            <w:r>
              <w:rPr>
                <w:b w:val="0"/>
                <w:bCs w:val="0"/>
                <w:color w:val="auto"/>
                <w:sz w:val="20"/>
                <w:szCs w:val="20"/>
              </w:rPr>
              <w:t>Gas / Ethylene Sensor</w:t>
            </w:r>
          </w:p>
        </w:tc>
        <w:tc>
          <w:tcPr>
            <w:tcW w:w="5800" w:type="dxa"/>
            <w:shd w:val="clear" w:color="auto" w:fill="FFFFFF"/>
            <w:tcMar>
              <w:top w:w="100" w:type="dxa"/>
              <w:left w:w="120" w:type="dxa"/>
              <w:bottom w:w="100" w:type="dxa"/>
              <w:right w:w="120" w:type="dxa"/>
            </w:tcMar>
            <w:vAlign w:val="center"/>
          </w:tcPr>
          <w:p w14:paraId="0D075405">
            <w:pPr>
              <w:jc w:val="left"/>
              <w:rPr>
                <w:color w:val="auto"/>
              </w:rPr>
            </w:pPr>
            <w:r>
              <w:rPr>
                <w:b w:val="0"/>
                <w:bCs w:val="0"/>
                <w:color w:val="auto"/>
                <w:sz w:val="20"/>
                <w:szCs w:val="20"/>
              </w:rPr>
              <w:t>MQ-series sensor for ripening/spoilage gas detection</w:t>
            </w:r>
          </w:p>
        </w:tc>
      </w:tr>
      <w:tr w14:paraId="58AF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51F4ACF5">
            <w:pPr>
              <w:jc w:val="left"/>
              <w:rPr>
                <w:color w:val="auto"/>
              </w:rPr>
            </w:pPr>
            <w:r>
              <w:rPr>
                <w:b w:val="0"/>
                <w:bCs w:val="0"/>
                <w:color w:val="auto"/>
                <w:sz w:val="20"/>
                <w:szCs w:val="20"/>
              </w:rPr>
              <w:t>GPS Module</w:t>
            </w:r>
          </w:p>
        </w:tc>
        <w:tc>
          <w:tcPr>
            <w:tcW w:w="5800" w:type="dxa"/>
            <w:shd w:val="clear" w:color="auto" w:fill="FFFFFF"/>
            <w:tcMar>
              <w:top w:w="100" w:type="dxa"/>
              <w:left w:w="120" w:type="dxa"/>
              <w:bottom w:w="100" w:type="dxa"/>
              <w:right w:w="120" w:type="dxa"/>
            </w:tcMar>
            <w:vAlign w:val="center"/>
          </w:tcPr>
          <w:p w14:paraId="45B419C8">
            <w:pPr>
              <w:jc w:val="left"/>
              <w:rPr>
                <w:color w:val="auto"/>
              </w:rPr>
            </w:pPr>
            <w:r>
              <w:rPr>
                <w:b w:val="0"/>
                <w:bCs w:val="0"/>
                <w:color w:val="auto"/>
                <w:sz w:val="20"/>
                <w:szCs w:val="20"/>
              </w:rPr>
              <w:t>NEO-6M or equivalent for real-time location tracking</w:t>
            </w:r>
          </w:p>
        </w:tc>
      </w:tr>
      <w:tr w14:paraId="015C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08045FDB">
            <w:pPr>
              <w:jc w:val="left"/>
              <w:rPr>
                <w:color w:val="auto"/>
              </w:rPr>
            </w:pPr>
            <w:r>
              <w:rPr>
                <w:b w:val="0"/>
                <w:bCs w:val="0"/>
                <w:color w:val="auto"/>
                <w:sz w:val="20"/>
                <w:szCs w:val="20"/>
              </w:rPr>
              <w:t>RFID Reader &amp; Tags</w:t>
            </w:r>
          </w:p>
        </w:tc>
        <w:tc>
          <w:tcPr>
            <w:tcW w:w="5800" w:type="dxa"/>
            <w:shd w:val="clear" w:color="auto" w:fill="FFFFFF"/>
            <w:tcMar>
              <w:top w:w="100" w:type="dxa"/>
              <w:left w:w="120" w:type="dxa"/>
              <w:bottom w:w="100" w:type="dxa"/>
              <w:right w:w="120" w:type="dxa"/>
            </w:tcMar>
            <w:vAlign w:val="center"/>
          </w:tcPr>
          <w:p w14:paraId="6E9B32EE">
            <w:pPr>
              <w:jc w:val="left"/>
              <w:rPr>
                <w:color w:val="auto"/>
              </w:rPr>
            </w:pPr>
            <w:r>
              <w:rPr>
                <w:b w:val="0"/>
                <w:bCs w:val="0"/>
                <w:color w:val="auto"/>
                <w:sz w:val="20"/>
                <w:szCs w:val="20"/>
              </w:rPr>
              <w:t>UHF RFID reader with passive/active tags per batch</w:t>
            </w:r>
          </w:p>
        </w:tc>
      </w:tr>
      <w:tr w14:paraId="7531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0E5EB817">
            <w:pPr>
              <w:jc w:val="left"/>
              <w:rPr>
                <w:color w:val="auto"/>
              </w:rPr>
            </w:pPr>
            <w:r>
              <w:rPr>
                <w:b w:val="0"/>
                <w:bCs w:val="0"/>
                <w:color w:val="auto"/>
                <w:sz w:val="20"/>
                <w:szCs w:val="20"/>
              </w:rPr>
              <w:t>Connectivity Module</w:t>
            </w:r>
          </w:p>
        </w:tc>
        <w:tc>
          <w:tcPr>
            <w:tcW w:w="5800" w:type="dxa"/>
            <w:shd w:val="clear" w:color="auto" w:fill="FFFFFF"/>
            <w:tcMar>
              <w:top w:w="100" w:type="dxa"/>
              <w:left w:w="120" w:type="dxa"/>
              <w:bottom w:w="100" w:type="dxa"/>
              <w:right w:w="120" w:type="dxa"/>
            </w:tcMar>
            <w:vAlign w:val="center"/>
          </w:tcPr>
          <w:p w14:paraId="008F91C0">
            <w:pPr>
              <w:jc w:val="left"/>
              <w:rPr>
                <w:color w:val="auto"/>
              </w:rPr>
            </w:pPr>
            <w:r>
              <w:rPr>
                <w:b w:val="0"/>
                <w:bCs w:val="0"/>
                <w:color w:val="auto"/>
                <w:sz w:val="20"/>
                <w:szCs w:val="20"/>
              </w:rPr>
              <w:t>LoRaWAN / NB-IoT / GSM module for remote transmission</w:t>
            </w:r>
          </w:p>
        </w:tc>
      </w:tr>
      <w:tr w14:paraId="2B26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691371B5">
            <w:pPr>
              <w:jc w:val="left"/>
              <w:rPr>
                <w:color w:val="auto"/>
              </w:rPr>
            </w:pPr>
            <w:r>
              <w:rPr>
                <w:b w:val="0"/>
                <w:bCs w:val="0"/>
                <w:color w:val="auto"/>
                <w:sz w:val="20"/>
                <w:szCs w:val="20"/>
              </w:rPr>
              <w:t>Power Supply</w:t>
            </w:r>
          </w:p>
        </w:tc>
        <w:tc>
          <w:tcPr>
            <w:tcW w:w="5800" w:type="dxa"/>
            <w:shd w:val="clear" w:color="auto" w:fill="FFFFFF"/>
            <w:tcMar>
              <w:top w:w="100" w:type="dxa"/>
              <w:left w:w="120" w:type="dxa"/>
              <w:bottom w:w="100" w:type="dxa"/>
              <w:right w:w="120" w:type="dxa"/>
            </w:tcMar>
            <w:vAlign w:val="center"/>
          </w:tcPr>
          <w:p w14:paraId="3717EBB2">
            <w:pPr>
              <w:jc w:val="left"/>
              <w:rPr>
                <w:color w:val="auto"/>
              </w:rPr>
            </w:pPr>
            <w:r>
              <w:rPr>
                <w:b w:val="0"/>
                <w:bCs w:val="0"/>
                <w:color w:val="auto"/>
                <w:sz w:val="20"/>
                <w:szCs w:val="20"/>
              </w:rPr>
              <w:t>Rechargeable battery pack with solar backup for field units</w:t>
            </w:r>
          </w:p>
        </w:tc>
      </w:tr>
    </w:tbl>
    <w:p w14:paraId="109B2E84">
      <w:pPr>
        <w:pStyle w:val="3"/>
        <w:spacing w:before="280" w:after="140"/>
        <w:rPr>
          <w:color w:val="auto"/>
        </w:rPr>
      </w:pPr>
      <w:r>
        <w:rPr>
          <w:b/>
          <w:bCs/>
          <w:color w:val="auto"/>
          <w:sz w:val="25"/>
          <w:szCs w:val="25"/>
        </w:rPr>
        <w:t>6.2 Software Requirements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800"/>
      </w:tblGrid>
      <w:tr w14:paraId="36B0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1F1F1" w:themeFill="background1" w:themeFillShade="F2"/>
            <w:tcMar>
              <w:top w:w="100" w:type="dxa"/>
              <w:left w:w="120" w:type="dxa"/>
              <w:bottom w:w="100" w:type="dxa"/>
              <w:right w:w="120" w:type="dxa"/>
            </w:tcMar>
            <w:vAlign w:val="center"/>
          </w:tcPr>
          <w:p w14:paraId="1367A5F3">
            <w:pPr>
              <w:jc w:val="left"/>
              <w:rPr>
                <w:color w:val="auto"/>
              </w:rPr>
            </w:pPr>
            <w:r>
              <w:rPr>
                <w:b/>
                <w:bCs/>
                <w:color w:val="auto"/>
                <w:sz w:val="20"/>
                <w:szCs w:val="20"/>
              </w:rPr>
              <w:t>Component</w:t>
            </w:r>
          </w:p>
        </w:tc>
        <w:tc>
          <w:tcPr>
            <w:tcW w:w="5800" w:type="dxa"/>
            <w:shd w:val="clear" w:color="auto" w:fill="F1F1F1" w:themeFill="background1" w:themeFillShade="F2"/>
            <w:tcMar>
              <w:top w:w="100" w:type="dxa"/>
              <w:left w:w="120" w:type="dxa"/>
              <w:bottom w:w="100" w:type="dxa"/>
              <w:right w:w="120" w:type="dxa"/>
            </w:tcMar>
            <w:vAlign w:val="center"/>
          </w:tcPr>
          <w:p w14:paraId="085CBDD3">
            <w:pPr>
              <w:jc w:val="left"/>
              <w:rPr>
                <w:color w:val="auto"/>
              </w:rPr>
            </w:pPr>
            <w:r>
              <w:rPr>
                <w:b/>
                <w:bCs/>
                <w:color w:val="auto"/>
                <w:sz w:val="20"/>
                <w:szCs w:val="20"/>
              </w:rPr>
              <w:t>Specification</w:t>
            </w:r>
          </w:p>
        </w:tc>
      </w:tr>
      <w:tr w14:paraId="3605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4148AB7C">
            <w:pPr>
              <w:jc w:val="left"/>
              <w:rPr>
                <w:color w:val="auto"/>
              </w:rPr>
            </w:pPr>
            <w:r>
              <w:rPr>
                <w:b w:val="0"/>
                <w:bCs w:val="0"/>
                <w:color w:val="auto"/>
                <w:sz w:val="20"/>
                <w:szCs w:val="20"/>
              </w:rPr>
              <w:t>Operating System</w:t>
            </w:r>
          </w:p>
        </w:tc>
        <w:tc>
          <w:tcPr>
            <w:tcW w:w="5800" w:type="dxa"/>
            <w:shd w:val="clear" w:color="auto" w:fill="FFFFFF"/>
            <w:tcMar>
              <w:top w:w="100" w:type="dxa"/>
              <w:left w:w="120" w:type="dxa"/>
              <w:bottom w:w="100" w:type="dxa"/>
              <w:right w:w="120" w:type="dxa"/>
            </w:tcMar>
            <w:vAlign w:val="center"/>
          </w:tcPr>
          <w:p w14:paraId="25DA465B">
            <w:pPr>
              <w:jc w:val="left"/>
              <w:rPr>
                <w:color w:val="auto"/>
              </w:rPr>
            </w:pPr>
            <w:r>
              <w:rPr>
                <w:b w:val="0"/>
                <w:bCs w:val="0"/>
                <w:color w:val="auto"/>
                <w:sz w:val="20"/>
                <w:szCs w:val="20"/>
              </w:rPr>
              <w:t>Linux (server-side), Android/iOS (mobile app)</w:t>
            </w:r>
          </w:p>
        </w:tc>
      </w:tr>
      <w:tr w14:paraId="19B8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35A32DAE">
            <w:pPr>
              <w:jc w:val="left"/>
              <w:rPr>
                <w:color w:val="auto"/>
              </w:rPr>
            </w:pPr>
            <w:r>
              <w:rPr>
                <w:b w:val="0"/>
                <w:bCs w:val="0"/>
                <w:color w:val="auto"/>
                <w:sz w:val="20"/>
                <w:szCs w:val="20"/>
              </w:rPr>
              <w:t>Programming Languages</w:t>
            </w:r>
          </w:p>
        </w:tc>
        <w:tc>
          <w:tcPr>
            <w:tcW w:w="5800" w:type="dxa"/>
            <w:shd w:val="clear" w:color="auto" w:fill="FFFFFF"/>
            <w:tcMar>
              <w:top w:w="100" w:type="dxa"/>
              <w:left w:w="120" w:type="dxa"/>
              <w:bottom w:w="100" w:type="dxa"/>
              <w:right w:w="120" w:type="dxa"/>
            </w:tcMar>
            <w:vAlign w:val="center"/>
          </w:tcPr>
          <w:p w14:paraId="527D19A4">
            <w:pPr>
              <w:jc w:val="left"/>
              <w:rPr>
                <w:color w:val="auto"/>
              </w:rPr>
            </w:pPr>
            <w:r>
              <w:rPr>
                <w:b w:val="0"/>
                <w:bCs w:val="0"/>
                <w:color w:val="auto"/>
                <w:sz w:val="20"/>
                <w:szCs w:val="20"/>
              </w:rPr>
              <w:t>Python, JavaScript/TypeScript, Solidity</w:t>
            </w:r>
          </w:p>
        </w:tc>
      </w:tr>
      <w:tr w14:paraId="6105A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272042FE">
            <w:pPr>
              <w:jc w:val="left"/>
              <w:rPr>
                <w:color w:val="auto"/>
              </w:rPr>
            </w:pPr>
            <w:r>
              <w:rPr>
                <w:b w:val="0"/>
                <w:bCs w:val="0"/>
                <w:color w:val="auto"/>
                <w:sz w:val="20"/>
                <w:szCs w:val="20"/>
              </w:rPr>
              <w:t>AI/ML Framework</w:t>
            </w:r>
          </w:p>
        </w:tc>
        <w:tc>
          <w:tcPr>
            <w:tcW w:w="5800" w:type="dxa"/>
            <w:shd w:val="clear" w:color="auto" w:fill="FFFFFF"/>
            <w:tcMar>
              <w:top w:w="100" w:type="dxa"/>
              <w:left w:w="120" w:type="dxa"/>
              <w:bottom w:w="100" w:type="dxa"/>
              <w:right w:w="120" w:type="dxa"/>
            </w:tcMar>
            <w:vAlign w:val="center"/>
          </w:tcPr>
          <w:p w14:paraId="57C8A238">
            <w:pPr>
              <w:jc w:val="left"/>
              <w:rPr>
                <w:color w:val="auto"/>
              </w:rPr>
            </w:pPr>
            <w:r>
              <w:rPr>
                <w:b w:val="0"/>
                <w:bCs w:val="0"/>
                <w:color w:val="auto"/>
                <w:sz w:val="20"/>
                <w:szCs w:val="20"/>
              </w:rPr>
              <w:t>TensorFlow / PyTorch / Scikit-learn</w:t>
            </w:r>
          </w:p>
        </w:tc>
      </w:tr>
      <w:tr w14:paraId="18AB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2C0BB320">
            <w:pPr>
              <w:jc w:val="left"/>
              <w:rPr>
                <w:color w:val="auto"/>
              </w:rPr>
            </w:pPr>
            <w:r>
              <w:rPr>
                <w:b w:val="0"/>
                <w:bCs w:val="0"/>
                <w:color w:val="auto"/>
                <w:sz w:val="20"/>
                <w:szCs w:val="20"/>
              </w:rPr>
              <w:t>Database</w:t>
            </w:r>
          </w:p>
        </w:tc>
        <w:tc>
          <w:tcPr>
            <w:tcW w:w="5800" w:type="dxa"/>
            <w:shd w:val="clear" w:color="auto" w:fill="FFFFFF"/>
            <w:tcMar>
              <w:top w:w="100" w:type="dxa"/>
              <w:left w:w="120" w:type="dxa"/>
              <w:bottom w:w="100" w:type="dxa"/>
              <w:right w:w="120" w:type="dxa"/>
            </w:tcMar>
            <w:vAlign w:val="center"/>
          </w:tcPr>
          <w:p w14:paraId="0DDF7FE9">
            <w:pPr>
              <w:jc w:val="left"/>
              <w:rPr>
                <w:color w:val="auto"/>
              </w:rPr>
            </w:pPr>
            <w:r>
              <w:rPr>
                <w:b w:val="0"/>
                <w:bCs w:val="0"/>
                <w:color w:val="auto"/>
                <w:sz w:val="20"/>
                <w:szCs w:val="20"/>
              </w:rPr>
              <w:t>PostgreSQL, MongoDB, InfluxDB</w:t>
            </w:r>
          </w:p>
        </w:tc>
      </w:tr>
      <w:tr w14:paraId="07D4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4F74002D">
            <w:pPr>
              <w:jc w:val="left"/>
              <w:rPr>
                <w:color w:val="auto"/>
              </w:rPr>
            </w:pPr>
            <w:r>
              <w:rPr>
                <w:b w:val="0"/>
                <w:bCs w:val="0"/>
                <w:color w:val="auto"/>
                <w:sz w:val="20"/>
                <w:szCs w:val="20"/>
              </w:rPr>
              <w:t>Blockchain Platform</w:t>
            </w:r>
          </w:p>
        </w:tc>
        <w:tc>
          <w:tcPr>
            <w:tcW w:w="5800" w:type="dxa"/>
            <w:shd w:val="clear" w:color="auto" w:fill="FFFFFF"/>
            <w:tcMar>
              <w:top w:w="100" w:type="dxa"/>
              <w:left w:w="120" w:type="dxa"/>
              <w:bottom w:w="100" w:type="dxa"/>
              <w:right w:w="120" w:type="dxa"/>
            </w:tcMar>
            <w:vAlign w:val="center"/>
          </w:tcPr>
          <w:p w14:paraId="662D6546">
            <w:pPr>
              <w:jc w:val="left"/>
              <w:rPr>
                <w:color w:val="auto"/>
              </w:rPr>
            </w:pPr>
            <w:r>
              <w:rPr>
                <w:b w:val="0"/>
                <w:bCs w:val="0"/>
                <w:color w:val="auto"/>
                <w:sz w:val="20"/>
                <w:szCs w:val="20"/>
              </w:rPr>
              <w:t>Hyperledger Fabric / Ethereum test network</w:t>
            </w:r>
          </w:p>
        </w:tc>
      </w:tr>
      <w:tr w14:paraId="0952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012938DD">
            <w:pPr>
              <w:jc w:val="left"/>
              <w:rPr>
                <w:color w:val="auto"/>
              </w:rPr>
            </w:pPr>
            <w:r>
              <w:rPr>
                <w:b w:val="0"/>
                <w:bCs w:val="0"/>
                <w:color w:val="auto"/>
                <w:sz w:val="20"/>
                <w:szCs w:val="20"/>
              </w:rPr>
              <w:t>Cloud Platform</w:t>
            </w:r>
          </w:p>
        </w:tc>
        <w:tc>
          <w:tcPr>
            <w:tcW w:w="5800" w:type="dxa"/>
            <w:shd w:val="clear" w:color="auto" w:fill="FFFFFF"/>
            <w:tcMar>
              <w:top w:w="100" w:type="dxa"/>
              <w:left w:w="120" w:type="dxa"/>
              <w:bottom w:w="100" w:type="dxa"/>
              <w:right w:w="120" w:type="dxa"/>
            </w:tcMar>
            <w:vAlign w:val="center"/>
          </w:tcPr>
          <w:p w14:paraId="3A04C47F">
            <w:pPr>
              <w:jc w:val="left"/>
              <w:rPr>
                <w:color w:val="auto"/>
              </w:rPr>
            </w:pPr>
            <w:r>
              <w:rPr>
                <w:b w:val="0"/>
                <w:bCs w:val="0"/>
                <w:color w:val="auto"/>
                <w:sz w:val="20"/>
                <w:szCs w:val="20"/>
              </w:rPr>
              <w:t>AWS / Microsoft Azure / Google Cloud Platform</w:t>
            </w:r>
          </w:p>
        </w:tc>
      </w:tr>
      <w:tr w14:paraId="2060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vAlign w:val="center"/>
          </w:tcPr>
          <w:p w14:paraId="4B29F914">
            <w:pPr>
              <w:jc w:val="left"/>
              <w:rPr>
                <w:color w:val="auto"/>
              </w:rPr>
            </w:pPr>
            <w:r>
              <w:rPr>
                <w:b w:val="0"/>
                <w:bCs w:val="0"/>
                <w:color w:val="auto"/>
                <w:sz w:val="20"/>
                <w:szCs w:val="20"/>
              </w:rPr>
              <w:t>Development Tools</w:t>
            </w:r>
          </w:p>
        </w:tc>
        <w:tc>
          <w:tcPr>
            <w:tcW w:w="5800" w:type="dxa"/>
            <w:shd w:val="clear" w:color="auto" w:fill="FFFFFF"/>
            <w:tcMar>
              <w:top w:w="100" w:type="dxa"/>
              <w:left w:w="120" w:type="dxa"/>
              <w:bottom w:w="100" w:type="dxa"/>
              <w:right w:w="120" w:type="dxa"/>
            </w:tcMar>
            <w:vAlign w:val="center"/>
          </w:tcPr>
          <w:p w14:paraId="09E7816D">
            <w:pPr>
              <w:jc w:val="left"/>
              <w:rPr>
                <w:color w:val="auto"/>
              </w:rPr>
            </w:pPr>
            <w:r>
              <w:rPr>
                <w:b w:val="0"/>
                <w:bCs w:val="0"/>
                <w:color w:val="auto"/>
                <w:sz w:val="20"/>
                <w:szCs w:val="20"/>
              </w:rPr>
              <w:t>VS Code, Docker, Git/GitHub, Postman</w:t>
            </w:r>
          </w:p>
        </w:tc>
      </w:tr>
    </w:tbl>
    <w:p w14:paraId="7F9E893F">
      <w:pPr>
        <w:rPr>
          <w:color w:val="auto"/>
        </w:rPr>
      </w:pPr>
      <w:r>
        <w:rPr>
          <w:color w:val="auto"/>
        </w:rPr>
        <w:br w:type="page"/>
      </w:r>
    </w:p>
    <w:p w14:paraId="6467E525">
      <w:pPr>
        <w:pStyle w:val="2"/>
        <w:spacing w:before="400" w:after="200"/>
        <w:rPr>
          <w:color w:val="auto"/>
        </w:rPr>
      </w:pPr>
      <w:r>
        <w:rPr>
          <w:b/>
          <w:bCs/>
          <w:color w:val="auto"/>
          <w:sz w:val="30"/>
          <w:szCs w:val="30"/>
        </w:rPr>
        <w:t>7. System Modules</w:t>
      </w:r>
    </w:p>
    <w:p w14:paraId="6B032DAD">
      <w:pPr>
        <w:pStyle w:val="3"/>
        <w:spacing w:before="280" w:after="140"/>
        <w:rPr>
          <w:color w:val="auto"/>
        </w:rPr>
      </w:pPr>
      <w:r>
        <w:rPr>
          <w:b/>
          <w:bCs/>
          <w:color w:val="auto"/>
          <w:sz w:val="25"/>
          <w:szCs w:val="25"/>
        </w:rPr>
        <w:t>7.1 Product Registration &amp; Origin Verification Module</w:t>
      </w:r>
    </w:p>
    <w:p w14:paraId="720260E2">
      <w:pPr>
        <w:spacing w:after="160" w:line="300" w:lineRule="auto"/>
        <w:jc w:val="both"/>
        <w:rPr>
          <w:color w:val="auto"/>
        </w:rPr>
      </w:pPr>
      <w:r>
        <w:rPr>
          <w:color w:val="auto"/>
          <w:sz w:val="22"/>
          <w:szCs w:val="22"/>
        </w:rPr>
        <w:t>Allows farmers/producers to register a batch with source details (location, date, certification), generating a unique digital identity (QR/RFID) anchored to the first blockchain transaction for that product.</w:t>
      </w:r>
    </w:p>
    <w:p w14:paraId="61405AB5">
      <w:pPr>
        <w:pStyle w:val="3"/>
        <w:spacing w:before="280" w:after="140"/>
        <w:rPr>
          <w:color w:val="auto"/>
        </w:rPr>
      </w:pPr>
      <w:r>
        <w:rPr>
          <w:b/>
          <w:bCs/>
          <w:color w:val="auto"/>
          <w:sz w:val="25"/>
          <w:szCs w:val="25"/>
        </w:rPr>
        <w:t>7.2 Real-Time Environmental Monitoring Module</w:t>
      </w:r>
    </w:p>
    <w:p w14:paraId="73AE2A6C">
      <w:pPr>
        <w:spacing w:after="160" w:line="300" w:lineRule="auto"/>
        <w:jc w:val="both"/>
        <w:rPr>
          <w:color w:val="auto"/>
        </w:rPr>
      </w:pPr>
      <w:r>
        <w:rPr>
          <w:color w:val="auto"/>
          <w:sz w:val="22"/>
          <w:szCs w:val="22"/>
        </w:rPr>
        <w:t>Collects continuous temperature, humidity, and other condition data from IoT sensors attached to storage units and transport vehicles, streaming readings to the cloud for analysis.</w:t>
      </w:r>
    </w:p>
    <w:p w14:paraId="7C5D2412">
      <w:pPr>
        <w:pStyle w:val="3"/>
        <w:spacing w:before="280" w:after="140"/>
        <w:rPr>
          <w:color w:val="auto"/>
        </w:rPr>
      </w:pPr>
      <w:r>
        <w:rPr>
          <w:b/>
          <w:bCs/>
          <w:color w:val="auto"/>
          <w:sz w:val="25"/>
          <w:szCs w:val="25"/>
        </w:rPr>
        <w:t>7.3 AI Spoilage Prediction Module</w:t>
      </w:r>
    </w:p>
    <w:p w14:paraId="332859A4">
      <w:pPr>
        <w:spacing w:after="160" w:line="300" w:lineRule="auto"/>
        <w:jc w:val="both"/>
        <w:rPr>
          <w:color w:val="auto"/>
        </w:rPr>
      </w:pPr>
      <w:r>
        <w:rPr>
          <w:color w:val="auto"/>
          <w:sz w:val="22"/>
          <w:szCs w:val="22"/>
        </w:rPr>
        <w:t>Applies trained machine learning models to sensor histories and product-specific decay characteristics to estimate remaining shelf life and flag elevated spoilage risk before visible degradation occurs.</w:t>
      </w:r>
    </w:p>
    <w:p w14:paraId="2F25D2A4">
      <w:pPr>
        <w:pStyle w:val="3"/>
        <w:spacing w:before="280" w:after="140"/>
        <w:rPr>
          <w:color w:val="auto"/>
        </w:rPr>
      </w:pPr>
      <w:r>
        <w:rPr>
          <w:b/>
          <w:bCs/>
          <w:color w:val="auto"/>
          <w:sz w:val="25"/>
          <w:szCs w:val="25"/>
        </w:rPr>
        <w:t>7.4 Blockchain Traceability Module</w:t>
      </w:r>
    </w:p>
    <w:p w14:paraId="2C3278A2">
      <w:pPr>
        <w:spacing w:after="160" w:line="300" w:lineRule="auto"/>
        <w:jc w:val="both"/>
        <w:rPr>
          <w:color w:val="auto"/>
        </w:rPr>
      </w:pPr>
      <w:r>
        <w:rPr>
          <w:color w:val="auto"/>
          <w:sz w:val="22"/>
          <w:szCs w:val="22"/>
        </w:rPr>
        <w:t>Records every custody transfer, inspection, and condition checkpoint as an immutable ledger entry, enabling any stakeholder to trace a product's complete journey and verify its authenticity.</w:t>
      </w:r>
    </w:p>
    <w:p w14:paraId="4C3477AB">
      <w:pPr>
        <w:pStyle w:val="3"/>
        <w:spacing w:before="280" w:after="140"/>
        <w:rPr>
          <w:color w:val="auto"/>
        </w:rPr>
      </w:pPr>
      <w:r>
        <w:rPr>
          <w:b/>
          <w:bCs/>
          <w:color w:val="auto"/>
          <w:sz w:val="25"/>
          <w:szCs w:val="25"/>
        </w:rPr>
        <w:t>7.5 Compliance Reporting Module</w:t>
      </w:r>
    </w:p>
    <w:p w14:paraId="0034D5EE">
      <w:pPr>
        <w:spacing w:after="160" w:line="300" w:lineRule="auto"/>
        <w:jc w:val="both"/>
        <w:rPr>
          <w:color w:val="auto"/>
        </w:rPr>
      </w:pPr>
      <w:r>
        <w:rPr>
          <w:color w:val="auto"/>
          <w:sz w:val="22"/>
          <w:szCs w:val="22"/>
        </w:rPr>
        <w:t>Automatically compiles sensor logs, quality checks, and chain-of-custody records into standardized reports aligned with food-safety regulations (e.g., HACCP, FSSAI, FDA FSMA), ready for regulatory submission.</w:t>
      </w:r>
    </w:p>
    <w:p w14:paraId="418DB345">
      <w:pPr>
        <w:pStyle w:val="3"/>
        <w:spacing w:before="280" w:after="140"/>
        <w:rPr>
          <w:color w:val="auto"/>
        </w:rPr>
      </w:pPr>
      <w:r>
        <w:rPr>
          <w:b/>
          <w:bCs/>
          <w:color w:val="auto"/>
          <w:sz w:val="25"/>
          <w:szCs w:val="25"/>
        </w:rPr>
        <w:t>7.6 Alert &amp; Notification Module</w:t>
      </w:r>
    </w:p>
    <w:p w14:paraId="7D8CA45E">
      <w:pPr>
        <w:spacing w:after="160" w:line="300" w:lineRule="auto"/>
        <w:jc w:val="both"/>
        <w:rPr>
          <w:color w:val="auto"/>
        </w:rPr>
      </w:pPr>
      <w:r>
        <w:rPr>
          <w:color w:val="auto"/>
          <w:sz w:val="22"/>
          <w:szCs w:val="22"/>
        </w:rPr>
        <w:t>Monitors live data against safe thresholds and predictive risk scores, instantly notifying relevant stakeholders (via SMS, email, or app push) when a quality issue or condition breach is detected.</w:t>
      </w:r>
    </w:p>
    <w:p w14:paraId="1A38E84D">
      <w:pPr>
        <w:pStyle w:val="3"/>
        <w:spacing w:before="280" w:after="140"/>
        <w:rPr>
          <w:color w:val="auto"/>
        </w:rPr>
      </w:pPr>
      <w:r>
        <w:rPr>
          <w:b/>
          <w:bCs/>
          <w:color w:val="auto"/>
          <w:sz w:val="25"/>
          <w:szCs w:val="25"/>
        </w:rPr>
        <w:t>7.7 Cold Storage Optimization Module</w:t>
      </w:r>
    </w:p>
    <w:p w14:paraId="4EF66D15">
      <w:pPr>
        <w:spacing w:after="160" w:line="300" w:lineRule="auto"/>
        <w:jc w:val="both"/>
        <w:rPr>
          <w:color w:val="auto"/>
        </w:rPr>
      </w:pPr>
      <w:r>
        <w:rPr>
          <w:color w:val="auto"/>
          <w:sz w:val="22"/>
          <w:szCs w:val="22"/>
        </w:rPr>
        <w:t>Analyzes storage utilization, energy consumption, and environmental stability to recommend optimal storage conditions and scheduling, reducing spoilage and operational cost.</w:t>
      </w:r>
    </w:p>
    <w:p w14:paraId="57359EFF">
      <w:pPr>
        <w:pStyle w:val="3"/>
        <w:spacing w:before="280" w:after="140"/>
        <w:rPr>
          <w:color w:val="auto"/>
        </w:rPr>
      </w:pPr>
      <w:r>
        <w:rPr>
          <w:b/>
          <w:bCs/>
          <w:color w:val="auto"/>
          <w:sz w:val="25"/>
          <w:szCs w:val="25"/>
        </w:rPr>
        <w:t>7.8 Stakeholder Dashboard Module</w:t>
      </w:r>
    </w:p>
    <w:p w14:paraId="5E530C70">
      <w:pPr>
        <w:spacing w:after="160" w:line="300" w:lineRule="auto"/>
        <w:jc w:val="both"/>
        <w:rPr>
          <w:color w:val="auto"/>
          <w:sz w:val="22"/>
          <w:szCs w:val="22"/>
        </w:rPr>
      </w:pPr>
      <w:r>
        <w:rPr>
          <w:color w:val="auto"/>
          <w:sz w:val="22"/>
          <w:szCs w:val="22"/>
        </w:rPr>
        <w:t>Provides role-based web and mobile interfaces for farmers, logistics providers, retailers, regulators, and consumers to view traceability history, quality scores, and compliance status for any product.</w:t>
      </w:r>
    </w:p>
    <w:p w14:paraId="2E4C796A">
      <w:pPr>
        <w:spacing w:after="160" w:line="300" w:lineRule="auto"/>
        <w:jc w:val="both"/>
        <w:rPr>
          <w:color w:val="auto"/>
          <w:sz w:val="22"/>
          <w:szCs w:val="22"/>
        </w:rPr>
      </w:pPr>
    </w:p>
    <w:p w14:paraId="744A0DE0">
      <w:pPr>
        <w:spacing w:after="160" w:line="300" w:lineRule="auto"/>
        <w:jc w:val="both"/>
        <w:rPr>
          <w:color w:val="auto"/>
          <w:sz w:val="22"/>
          <w:szCs w:val="22"/>
        </w:rPr>
      </w:pPr>
    </w:p>
    <w:p w14:paraId="24069321">
      <w:pPr>
        <w:spacing w:after="160" w:line="300" w:lineRule="auto"/>
        <w:jc w:val="both"/>
        <w:rPr>
          <w:color w:val="auto"/>
          <w:sz w:val="22"/>
          <w:szCs w:val="22"/>
        </w:rPr>
      </w:pPr>
    </w:p>
    <w:p w14:paraId="62603EFA">
      <w:pPr>
        <w:spacing w:after="160" w:line="300" w:lineRule="auto"/>
        <w:jc w:val="both"/>
        <w:rPr>
          <w:color w:val="auto"/>
          <w:sz w:val="22"/>
          <w:szCs w:val="22"/>
        </w:rPr>
      </w:pPr>
    </w:p>
    <w:p w14:paraId="080A151B">
      <w:pPr>
        <w:pStyle w:val="2"/>
        <w:spacing w:before="400" w:after="200"/>
        <w:rPr>
          <w:color w:val="auto"/>
        </w:rPr>
      </w:pPr>
      <w:r>
        <w:rPr>
          <w:b/>
          <w:bCs/>
          <w:color w:val="auto"/>
          <w:sz w:val="30"/>
          <w:szCs w:val="30"/>
        </w:rPr>
        <w:t>8. AI Techniques and Algorithms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300"/>
        <w:gridCol w:w="2900"/>
      </w:tblGrid>
      <w:tr w14:paraId="0190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1F1" w:themeFill="background1" w:themeFillShade="F2"/>
            <w:tcMar>
              <w:top w:w="100" w:type="dxa"/>
              <w:left w:w="120" w:type="dxa"/>
              <w:bottom w:w="100" w:type="dxa"/>
              <w:right w:w="120" w:type="dxa"/>
            </w:tcMar>
            <w:vAlign w:val="center"/>
          </w:tcPr>
          <w:p w14:paraId="33F6D85C">
            <w:pPr>
              <w:jc w:val="left"/>
              <w:rPr>
                <w:color w:val="auto"/>
              </w:rPr>
            </w:pPr>
            <w:r>
              <w:rPr>
                <w:b/>
                <w:bCs/>
                <w:color w:val="auto"/>
                <w:sz w:val="20"/>
                <w:szCs w:val="20"/>
              </w:rPr>
              <w:t>Task</w:t>
            </w:r>
          </w:p>
        </w:tc>
        <w:tc>
          <w:tcPr>
            <w:tcW w:w="3300" w:type="dxa"/>
            <w:shd w:val="clear" w:color="auto" w:fill="F1F1F1" w:themeFill="background1" w:themeFillShade="F2"/>
            <w:tcMar>
              <w:top w:w="100" w:type="dxa"/>
              <w:left w:w="120" w:type="dxa"/>
              <w:bottom w:w="100" w:type="dxa"/>
              <w:right w:w="120" w:type="dxa"/>
            </w:tcMar>
            <w:vAlign w:val="center"/>
          </w:tcPr>
          <w:p w14:paraId="5F224261">
            <w:pPr>
              <w:jc w:val="left"/>
              <w:rPr>
                <w:color w:val="auto"/>
              </w:rPr>
            </w:pPr>
            <w:r>
              <w:rPr>
                <w:b/>
                <w:bCs/>
                <w:color w:val="auto"/>
                <w:sz w:val="20"/>
                <w:szCs w:val="20"/>
              </w:rPr>
              <w:t>Technique</w:t>
            </w:r>
          </w:p>
        </w:tc>
        <w:tc>
          <w:tcPr>
            <w:tcW w:w="2900" w:type="dxa"/>
            <w:shd w:val="clear" w:color="auto" w:fill="F1F1F1" w:themeFill="background1" w:themeFillShade="F2"/>
            <w:tcMar>
              <w:top w:w="100" w:type="dxa"/>
              <w:left w:w="120" w:type="dxa"/>
              <w:bottom w:w="100" w:type="dxa"/>
              <w:right w:w="120" w:type="dxa"/>
            </w:tcMar>
            <w:vAlign w:val="center"/>
          </w:tcPr>
          <w:p w14:paraId="649D79DF">
            <w:pPr>
              <w:jc w:val="left"/>
              <w:rPr>
                <w:color w:val="auto"/>
              </w:rPr>
            </w:pPr>
            <w:r>
              <w:rPr>
                <w:b/>
                <w:bCs/>
                <w:color w:val="auto"/>
                <w:sz w:val="20"/>
                <w:szCs w:val="20"/>
              </w:rPr>
              <w:t>Purpose</w:t>
            </w:r>
          </w:p>
        </w:tc>
      </w:tr>
      <w:tr w14:paraId="2CDE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3BF94BEB">
            <w:pPr>
              <w:jc w:val="left"/>
              <w:rPr>
                <w:color w:val="auto"/>
              </w:rPr>
            </w:pPr>
            <w:r>
              <w:rPr>
                <w:b w:val="0"/>
                <w:bCs w:val="0"/>
                <w:color w:val="auto"/>
                <w:sz w:val="20"/>
                <w:szCs w:val="20"/>
              </w:rPr>
              <w:t>Spoilage / shelf-life prediction</w:t>
            </w:r>
          </w:p>
        </w:tc>
        <w:tc>
          <w:tcPr>
            <w:tcW w:w="3300" w:type="dxa"/>
            <w:shd w:val="clear" w:color="auto" w:fill="FFFFFF"/>
            <w:tcMar>
              <w:top w:w="100" w:type="dxa"/>
              <w:left w:w="120" w:type="dxa"/>
              <w:bottom w:w="100" w:type="dxa"/>
              <w:right w:w="120" w:type="dxa"/>
            </w:tcMar>
            <w:vAlign w:val="center"/>
          </w:tcPr>
          <w:p w14:paraId="479A76E4">
            <w:pPr>
              <w:jc w:val="left"/>
              <w:rPr>
                <w:color w:val="auto"/>
              </w:rPr>
            </w:pPr>
            <w:r>
              <w:rPr>
                <w:b w:val="0"/>
                <w:bCs w:val="0"/>
                <w:color w:val="auto"/>
                <w:sz w:val="20"/>
                <w:szCs w:val="20"/>
              </w:rPr>
              <w:t>LSTM / regression on time-series sensor data</w:t>
            </w:r>
          </w:p>
        </w:tc>
        <w:tc>
          <w:tcPr>
            <w:tcW w:w="2900" w:type="dxa"/>
            <w:shd w:val="clear" w:color="auto" w:fill="FFFFFF"/>
            <w:tcMar>
              <w:top w:w="100" w:type="dxa"/>
              <w:left w:w="120" w:type="dxa"/>
              <w:bottom w:w="100" w:type="dxa"/>
              <w:right w:w="120" w:type="dxa"/>
            </w:tcMar>
            <w:vAlign w:val="center"/>
          </w:tcPr>
          <w:p w14:paraId="7D00EB13">
            <w:pPr>
              <w:jc w:val="left"/>
              <w:rPr>
                <w:color w:val="auto"/>
              </w:rPr>
            </w:pPr>
            <w:r>
              <w:rPr>
                <w:b w:val="0"/>
                <w:bCs w:val="0"/>
                <w:color w:val="auto"/>
                <w:sz w:val="20"/>
                <w:szCs w:val="20"/>
              </w:rPr>
              <w:t>Estimate remaining safe shelf life from temperature-humidity history</w:t>
            </w:r>
          </w:p>
        </w:tc>
      </w:tr>
      <w:tr w14:paraId="69AF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18611312">
            <w:pPr>
              <w:jc w:val="left"/>
              <w:rPr>
                <w:color w:val="auto"/>
              </w:rPr>
            </w:pPr>
            <w:r>
              <w:rPr>
                <w:b w:val="0"/>
                <w:bCs w:val="0"/>
                <w:color w:val="auto"/>
                <w:sz w:val="20"/>
                <w:szCs w:val="20"/>
              </w:rPr>
              <w:t>Anomaly detection</w:t>
            </w:r>
          </w:p>
        </w:tc>
        <w:tc>
          <w:tcPr>
            <w:tcW w:w="3300" w:type="dxa"/>
            <w:shd w:val="clear" w:color="auto" w:fill="FFFFFF"/>
            <w:tcMar>
              <w:top w:w="100" w:type="dxa"/>
              <w:left w:w="120" w:type="dxa"/>
              <w:bottom w:w="100" w:type="dxa"/>
              <w:right w:w="120" w:type="dxa"/>
            </w:tcMar>
            <w:vAlign w:val="center"/>
          </w:tcPr>
          <w:p w14:paraId="3E343AFB">
            <w:pPr>
              <w:jc w:val="left"/>
              <w:rPr>
                <w:color w:val="auto"/>
              </w:rPr>
            </w:pPr>
            <w:r>
              <w:rPr>
                <w:b w:val="0"/>
                <w:bCs w:val="0"/>
                <w:color w:val="auto"/>
                <w:sz w:val="20"/>
                <w:szCs w:val="20"/>
              </w:rPr>
              <w:t>Isolation Forest / statistical thresholding</w:t>
            </w:r>
          </w:p>
        </w:tc>
        <w:tc>
          <w:tcPr>
            <w:tcW w:w="2900" w:type="dxa"/>
            <w:shd w:val="clear" w:color="auto" w:fill="FFFFFF"/>
            <w:tcMar>
              <w:top w:w="100" w:type="dxa"/>
              <w:left w:w="120" w:type="dxa"/>
              <w:bottom w:w="100" w:type="dxa"/>
              <w:right w:w="120" w:type="dxa"/>
            </w:tcMar>
            <w:vAlign w:val="center"/>
          </w:tcPr>
          <w:p w14:paraId="78BD3411">
            <w:pPr>
              <w:jc w:val="left"/>
              <w:rPr>
                <w:color w:val="auto"/>
              </w:rPr>
            </w:pPr>
            <w:r>
              <w:rPr>
                <w:b w:val="0"/>
                <w:bCs w:val="0"/>
                <w:color w:val="auto"/>
                <w:sz w:val="20"/>
                <w:szCs w:val="20"/>
              </w:rPr>
              <w:t>Detect abnormal sensor readings indicating equipment failure or tampering</w:t>
            </w:r>
          </w:p>
        </w:tc>
      </w:tr>
      <w:tr w14:paraId="650E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60B9E576">
            <w:pPr>
              <w:jc w:val="left"/>
              <w:rPr>
                <w:color w:val="auto"/>
              </w:rPr>
            </w:pPr>
            <w:r>
              <w:rPr>
                <w:b w:val="0"/>
                <w:bCs w:val="0"/>
                <w:color w:val="auto"/>
                <w:sz w:val="20"/>
                <w:szCs w:val="20"/>
              </w:rPr>
              <w:t>Quality classification</w:t>
            </w:r>
          </w:p>
        </w:tc>
        <w:tc>
          <w:tcPr>
            <w:tcW w:w="3300" w:type="dxa"/>
            <w:shd w:val="clear" w:color="auto" w:fill="FFFFFF"/>
            <w:tcMar>
              <w:top w:w="100" w:type="dxa"/>
              <w:left w:w="120" w:type="dxa"/>
              <w:bottom w:w="100" w:type="dxa"/>
              <w:right w:w="120" w:type="dxa"/>
            </w:tcMar>
            <w:vAlign w:val="center"/>
          </w:tcPr>
          <w:p w14:paraId="714AC8D0">
            <w:pPr>
              <w:jc w:val="left"/>
              <w:rPr>
                <w:color w:val="auto"/>
              </w:rPr>
            </w:pPr>
            <w:r>
              <w:rPr>
                <w:b w:val="0"/>
                <w:bCs w:val="0"/>
                <w:color w:val="auto"/>
                <w:sz w:val="20"/>
                <w:szCs w:val="20"/>
              </w:rPr>
              <w:t>Random Forest / SVM</w:t>
            </w:r>
          </w:p>
        </w:tc>
        <w:tc>
          <w:tcPr>
            <w:tcW w:w="2900" w:type="dxa"/>
            <w:shd w:val="clear" w:color="auto" w:fill="FFFFFF"/>
            <w:tcMar>
              <w:top w:w="100" w:type="dxa"/>
              <w:left w:w="120" w:type="dxa"/>
              <w:bottom w:w="100" w:type="dxa"/>
              <w:right w:w="120" w:type="dxa"/>
            </w:tcMar>
            <w:vAlign w:val="center"/>
          </w:tcPr>
          <w:p w14:paraId="1BAA8DDE">
            <w:pPr>
              <w:jc w:val="left"/>
              <w:rPr>
                <w:color w:val="auto"/>
              </w:rPr>
            </w:pPr>
            <w:r>
              <w:rPr>
                <w:b w:val="0"/>
                <w:bCs w:val="0"/>
                <w:color w:val="auto"/>
                <w:sz w:val="20"/>
                <w:szCs w:val="20"/>
              </w:rPr>
              <w:t>Classify product batches as safe, at-risk, or spoiled</w:t>
            </w:r>
          </w:p>
        </w:tc>
      </w:tr>
      <w:tr w14:paraId="1617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4A1E910A">
            <w:pPr>
              <w:jc w:val="left"/>
              <w:rPr>
                <w:color w:val="auto"/>
              </w:rPr>
            </w:pPr>
            <w:r>
              <w:rPr>
                <w:b w:val="0"/>
                <w:bCs w:val="0"/>
                <w:color w:val="auto"/>
                <w:sz w:val="20"/>
                <w:szCs w:val="20"/>
              </w:rPr>
              <w:t>Demand &amp; waste forecasting</w:t>
            </w:r>
          </w:p>
        </w:tc>
        <w:tc>
          <w:tcPr>
            <w:tcW w:w="3300" w:type="dxa"/>
            <w:shd w:val="clear" w:color="auto" w:fill="FFFFFF"/>
            <w:tcMar>
              <w:top w:w="100" w:type="dxa"/>
              <w:left w:w="120" w:type="dxa"/>
              <w:bottom w:w="100" w:type="dxa"/>
              <w:right w:w="120" w:type="dxa"/>
            </w:tcMar>
            <w:vAlign w:val="center"/>
          </w:tcPr>
          <w:p w14:paraId="7905C828">
            <w:pPr>
              <w:jc w:val="left"/>
              <w:rPr>
                <w:color w:val="auto"/>
              </w:rPr>
            </w:pPr>
            <w:r>
              <w:rPr>
                <w:b w:val="0"/>
                <w:bCs w:val="0"/>
                <w:color w:val="auto"/>
                <w:sz w:val="20"/>
                <w:szCs w:val="20"/>
              </w:rPr>
              <w:t>ARIMA / Prophet</w:t>
            </w:r>
          </w:p>
        </w:tc>
        <w:tc>
          <w:tcPr>
            <w:tcW w:w="2900" w:type="dxa"/>
            <w:shd w:val="clear" w:color="auto" w:fill="FFFFFF"/>
            <w:tcMar>
              <w:top w:w="100" w:type="dxa"/>
              <w:left w:w="120" w:type="dxa"/>
              <w:bottom w:w="100" w:type="dxa"/>
              <w:right w:w="120" w:type="dxa"/>
            </w:tcMar>
            <w:vAlign w:val="center"/>
          </w:tcPr>
          <w:p w14:paraId="36442B8E">
            <w:pPr>
              <w:jc w:val="left"/>
              <w:rPr>
                <w:color w:val="auto"/>
              </w:rPr>
            </w:pPr>
            <w:r>
              <w:rPr>
                <w:b w:val="0"/>
                <w:bCs w:val="0"/>
                <w:color w:val="auto"/>
                <w:sz w:val="20"/>
                <w:szCs w:val="20"/>
              </w:rPr>
              <w:t>Forecast demand to reduce overstocking and waste</w:t>
            </w:r>
          </w:p>
        </w:tc>
      </w:tr>
      <w:tr w14:paraId="5B5B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3049A9A8">
            <w:pPr>
              <w:jc w:val="left"/>
              <w:rPr>
                <w:color w:val="auto"/>
              </w:rPr>
            </w:pPr>
            <w:r>
              <w:rPr>
                <w:b w:val="0"/>
                <w:bCs w:val="0"/>
                <w:color w:val="auto"/>
                <w:sz w:val="20"/>
                <w:szCs w:val="20"/>
              </w:rPr>
              <w:t>Image-based quality inspection</w:t>
            </w:r>
          </w:p>
        </w:tc>
        <w:tc>
          <w:tcPr>
            <w:tcW w:w="3300" w:type="dxa"/>
            <w:shd w:val="clear" w:color="auto" w:fill="FFFFFF"/>
            <w:tcMar>
              <w:top w:w="100" w:type="dxa"/>
              <w:left w:w="120" w:type="dxa"/>
              <w:bottom w:w="100" w:type="dxa"/>
              <w:right w:w="120" w:type="dxa"/>
            </w:tcMar>
            <w:vAlign w:val="center"/>
          </w:tcPr>
          <w:p w14:paraId="10BE5CAF">
            <w:pPr>
              <w:jc w:val="left"/>
              <w:rPr>
                <w:color w:val="auto"/>
              </w:rPr>
            </w:pPr>
            <w:r>
              <w:rPr>
                <w:b w:val="0"/>
                <w:bCs w:val="0"/>
                <w:color w:val="auto"/>
                <w:sz w:val="20"/>
                <w:szCs w:val="20"/>
              </w:rPr>
              <w:t>CNN (optional extension)</w:t>
            </w:r>
          </w:p>
        </w:tc>
        <w:tc>
          <w:tcPr>
            <w:tcW w:w="2900" w:type="dxa"/>
            <w:shd w:val="clear" w:color="auto" w:fill="FFFFFF"/>
            <w:tcMar>
              <w:top w:w="100" w:type="dxa"/>
              <w:left w:w="120" w:type="dxa"/>
              <w:bottom w:w="100" w:type="dxa"/>
              <w:right w:w="120" w:type="dxa"/>
            </w:tcMar>
            <w:vAlign w:val="center"/>
          </w:tcPr>
          <w:p w14:paraId="3E7B4AE6">
            <w:pPr>
              <w:jc w:val="left"/>
              <w:rPr>
                <w:color w:val="auto"/>
              </w:rPr>
            </w:pPr>
            <w:r>
              <w:rPr>
                <w:b w:val="0"/>
                <w:bCs w:val="0"/>
                <w:color w:val="auto"/>
                <w:sz w:val="20"/>
                <w:szCs w:val="20"/>
              </w:rPr>
              <w:t>Visual grading of produce freshness from camera images</w:t>
            </w:r>
          </w:p>
        </w:tc>
      </w:tr>
    </w:tbl>
    <w:p w14:paraId="62E1C594">
      <w:pPr>
        <w:spacing w:after="160" w:line="300" w:lineRule="auto"/>
        <w:jc w:val="both"/>
        <w:rPr>
          <w:color w:val="auto"/>
          <w:sz w:val="22"/>
          <w:szCs w:val="22"/>
        </w:rPr>
      </w:pPr>
    </w:p>
    <w:p w14:paraId="67E28FDD">
      <w:pPr>
        <w:spacing w:after="160" w:line="300" w:lineRule="auto"/>
        <w:jc w:val="both"/>
        <w:rPr>
          <w:color w:val="auto"/>
        </w:rPr>
      </w:pPr>
      <w:r>
        <w:rPr>
          <w:color w:val="auto"/>
          <w:sz w:val="22"/>
          <w:szCs w:val="22"/>
        </w:rPr>
        <w:t>The spoilage prediction pipeline is trained on historical sensor data labelled with known outcomes (spoiled/not spoiled, actual shelf life), using features such as cumulative temperature exposure, humidity variance, and time since packaging. Model outputs feed directly into the alerting and dashboard modules, converting raw predictions into actionable, easy-to-understand risk indicators for non-technical stakeholders.</w:t>
      </w:r>
    </w:p>
    <w:p w14:paraId="2AD78DE7">
      <w:pPr>
        <w:pStyle w:val="2"/>
        <w:numPr>
          <w:ilvl w:val="0"/>
          <w:numId w:val="2"/>
        </w:numPr>
        <w:spacing w:before="400" w:after="200"/>
        <w:ind w:left="520" w:leftChars="0" w:hanging="320" w:firstLineChars="0"/>
        <w:rPr>
          <w:b/>
          <w:bCs/>
          <w:color w:val="auto"/>
          <w:sz w:val="30"/>
          <w:szCs w:val="30"/>
        </w:rPr>
      </w:pPr>
      <w:r>
        <w:rPr>
          <w:b/>
          <w:bCs/>
          <w:color w:val="auto"/>
          <w:sz w:val="30"/>
          <w:szCs w:val="30"/>
        </w:rPr>
        <w:t>Methodology / Workflow</w:t>
      </w:r>
    </w:p>
    <w:p w14:paraId="2F08A84C">
      <w:pPr>
        <w:numPr>
          <w:numId w:val="0"/>
        </w:numPr>
        <w:ind w:left="200" w:leftChars="0"/>
        <w:jc w:val="center"/>
        <w:rPr>
          <w:rFonts w:ascii="SimSun" w:hAnsi="SimSun" w:eastAsia="SimSun" w:cs="SimSun"/>
          <w:sz w:val="24"/>
          <w:szCs w:val="24"/>
        </w:rPr>
      </w:pPr>
      <w:r>
        <w:drawing>
          <wp:inline distT="0" distB="0" distL="114300" distR="114300">
            <wp:extent cx="3180715" cy="2124710"/>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3180715" cy="2124710"/>
                    </a:xfrm>
                    <a:prstGeom prst="rect">
                      <a:avLst/>
                    </a:prstGeom>
                    <a:noFill/>
                    <a:ln>
                      <a:noFill/>
                    </a:ln>
                  </pic:spPr>
                </pic:pic>
              </a:graphicData>
            </a:graphic>
          </wp:inline>
        </w:drawing>
      </w:r>
    </w:p>
    <w:p w14:paraId="72C88A94">
      <w:pPr>
        <w:numPr>
          <w:numId w:val="0"/>
        </w:numPr>
        <w:ind w:left="200" w:leftChars="0"/>
        <w:jc w:val="center"/>
        <w:rPr>
          <w:rFonts w:ascii="SimSun" w:hAnsi="SimSun" w:eastAsia="SimSun" w:cs="SimSun"/>
          <w:sz w:val="24"/>
          <w:szCs w:val="24"/>
        </w:rPr>
      </w:pPr>
    </w:p>
    <w:p w14:paraId="1D83C292">
      <w:pPr>
        <w:pStyle w:val="16"/>
        <w:numPr>
          <w:ilvl w:val="0"/>
          <w:numId w:val="3"/>
        </w:numPr>
        <w:spacing w:after="90"/>
        <w:ind w:left="425" w:leftChars="0" w:hanging="425" w:firstLineChars="0"/>
        <w:rPr>
          <w:color w:val="auto"/>
        </w:rPr>
      </w:pPr>
      <w:r>
        <w:rPr>
          <w:color w:val="auto"/>
          <w:sz w:val="22"/>
          <w:szCs w:val="22"/>
        </w:rPr>
        <w:t>Sensor and RFID/QR tags are deployed at the source, storage facility, and transport vehicle for each product batch.</w:t>
      </w:r>
    </w:p>
    <w:p w14:paraId="3CB33F8C">
      <w:pPr>
        <w:pStyle w:val="16"/>
        <w:numPr>
          <w:ilvl w:val="0"/>
          <w:numId w:val="3"/>
        </w:numPr>
        <w:spacing w:after="90"/>
        <w:ind w:left="425" w:leftChars="0" w:hanging="425" w:firstLineChars="0"/>
        <w:rPr>
          <w:color w:val="auto"/>
        </w:rPr>
      </w:pPr>
      <w:r>
        <w:rPr>
          <w:color w:val="auto"/>
          <w:sz w:val="22"/>
          <w:szCs w:val="22"/>
        </w:rPr>
        <w:t>Each checkpoint reading (location, temperature, humidity, timestamp) is transmitted via the connectivity layer to the cloud platform.</w:t>
      </w:r>
    </w:p>
    <w:p w14:paraId="20C7E2AF">
      <w:pPr>
        <w:pStyle w:val="16"/>
        <w:numPr>
          <w:ilvl w:val="0"/>
          <w:numId w:val="3"/>
        </w:numPr>
        <w:spacing w:after="90"/>
        <w:ind w:left="425" w:leftChars="0" w:hanging="425" w:firstLineChars="0"/>
        <w:rPr>
          <w:color w:val="auto"/>
        </w:rPr>
      </w:pPr>
      <w:r>
        <w:rPr>
          <w:color w:val="auto"/>
          <w:sz w:val="22"/>
          <w:szCs w:val="22"/>
        </w:rPr>
        <w:t>Incoming data is validated, stored in the time-series database, and simultaneously hashed into a new blockchain transaction linked to the product ID.</w:t>
      </w:r>
    </w:p>
    <w:p w14:paraId="7F9A5B41">
      <w:pPr>
        <w:pStyle w:val="16"/>
        <w:numPr>
          <w:ilvl w:val="0"/>
          <w:numId w:val="3"/>
        </w:numPr>
        <w:spacing w:after="90"/>
        <w:ind w:left="425" w:leftChars="0" w:hanging="425" w:firstLineChars="0"/>
        <w:rPr>
          <w:color w:val="auto"/>
        </w:rPr>
      </w:pPr>
      <w:r>
        <w:rPr>
          <w:color w:val="auto"/>
          <w:sz w:val="22"/>
          <w:szCs w:val="22"/>
        </w:rPr>
        <w:t>The AI engine evaluates the updated data against safe thresholds and predictive spoilage models, refreshing the product's live quality score.</w:t>
      </w:r>
    </w:p>
    <w:p w14:paraId="4F64645A">
      <w:pPr>
        <w:pStyle w:val="16"/>
        <w:numPr>
          <w:ilvl w:val="0"/>
          <w:numId w:val="3"/>
        </w:numPr>
        <w:spacing w:after="90"/>
        <w:ind w:left="425" w:leftChars="0" w:hanging="425" w:firstLineChars="0"/>
        <w:rPr>
          <w:color w:val="auto"/>
        </w:rPr>
      </w:pPr>
      <w:r>
        <w:rPr>
          <w:color w:val="auto"/>
          <w:sz w:val="22"/>
          <w:szCs w:val="22"/>
        </w:rPr>
        <w:t>If a threshold breach or high spoilage risk is detected, the alerting module notifies relevant stakeholders in real time.</w:t>
      </w:r>
    </w:p>
    <w:p w14:paraId="00EAC7A9">
      <w:pPr>
        <w:pStyle w:val="16"/>
        <w:numPr>
          <w:ilvl w:val="0"/>
          <w:numId w:val="3"/>
        </w:numPr>
        <w:spacing w:after="90"/>
        <w:ind w:left="425" w:leftChars="0" w:hanging="425" w:firstLineChars="0"/>
        <w:rPr>
          <w:color w:val="auto"/>
        </w:rPr>
      </w:pPr>
      <w:r>
        <w:rPr>
          <w:color w:val="auto"/>
          <w:sz w:val="22"/>
          <w:szCs w:val="22"/>
        </w:rPr>
        <w:t>At each stage of the journey, the compliance module logs the relevant checks needed for regulatory reporting.</w:t>
      </w:r>
    </w:p>
    <w:p w14:paraId="49222741">
      <w:pPr>
        <w:pStyle w:val="16"/>
        <w:numPr>
          <w:ilvl w:val="0"/>
          <w:numId w:val="3"/>
        </w:numPr>
        <w:spacing w:after="90"/>
        <w:ind w:left="425" w:leftChars="0" w:hanging="425" w:firstLineChars="0"/>
        <w:rPr>
          <w:color w:val="auto"/>
        </w:rPr>
      </w:pPr>
      <w:r>
        <w:rPr>
          <w:color w:val="auto"/>
          <w:sz w:val="22"/>
          <w:szCs w:val="22"/>
        </w:rPr>
        <w:t>Consumers and regulators can scan the product's QR/RFID code to view its complete, verified journey and current quality status on the dashboard.</w:t>
      </w:r>
    </w:p>
    <w:p w14:paraId="102A26C7">
      <w:pPr>
        <w:pStyle w:val="3"/>
        <w:spacing w:before="280" w:after="140"/>
        <w:rPr>
          <w:color w:val="auto"/>
        </w:rPr>
      </w:pPr>
      <w:r>
        <w:rPr>
          <w:b/>
          <w:bCs/>
          <w:color w:val="auto"/>
          <w:sz w:val="25"/>
          <w:szCs w:val="25"/>
        </w:rPr>
        <w:t>9.1 Process Flow Summary</w:t>
      </w:r>
    </w:p>
    <w:p w14:paraId="7B1EC1B9">
      <w:pPr>
        <w:spacing w:after="160" w:line="300" w:lineRule="auto"/>
        <w:jc w:val="both"/>
        <w:rPr>
          <w:color w:val="auto"/>
        </w:rPr>
      </w:pPr>
      <w:r>
        <w:rPr>
          <w:color w:val="auto"/>
          <w:sz w:val="22"/>
          <w:szCs w:val="22"/>
        </w:rPr>
        <w:t>Registration → Sensing → Transmission → AI Analysis → Blockchain Recording → Alerting → Reporting → Stakeholder Access. This closed loop ensures that data captured at the farm is verifiable all the way to the consumer's point of purchase, with AI continuously reassessing risk at every step rather than only at fixed checkpoints.</w:t>
      </w:r>
    </w:p>
    <w:p w14:paraId="4D941CCA">
      <w:pPr>
        <w:pStyle w:val="2"/>
        <w:spacing w:before="400" w:after="200"/>
        <w:rPr>
          <w:color w:val="auto"/>
        </w:rPr>
      </w:pPr>
      <w:r>
        <w:rPr>
          <w:b/>
          <w:bCs/>
          <w:color w:val="auto"/>
          <w:sz w:val="30"/>
          <w:szCs w:val="30"/>
        </w:rPr>
        <w:t>10. Database Design (Overview)</w:t>
      </w:r>
    </w:p>
    <w:p w14:paraId="68CFF94D">
      <w:pPr>
        <w:spacing w:after="160" w:line="300" w:lineRule="auto"/>
        <w:jc w:val="both"/>
        <w:rPr>
          <w:color w:val="auto"/>
        </w:rPr>
      </w:pPr>
      <w:r>
        <w:rPr>
          <w:color w:val="auto"/>
          <w:sz w:val="22"/>
          <w:szCs w:val="22"/>
        </w:rPr>
        <w:t>The platform uses a hybrid storage approach: a relational/NoSQL database for structured operational data (products, stakeholders, certifications) and a time-series database for high-frequency sensor readings, complemented by the blockchain ledger for tamper-proof event records.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200"/>
      </w:tblGrid>
      <w:tr w14:paraId="296B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F1F1F1" w:themeFill="background1" w:themeFillShade="F2"/>
            <w:tcMar>
              <w:top w:w="100" w:type="dxa"/>
              <w:left w:w="120" w:type="dxa"/>
              <w:bottom w:w="100" w:type="dxa"/>
              <w:right w:w="120" w:type="dxa"/>
            </w:tcMar>
            <w:vAlign w:val="center"/>
          </w:tcPr>
          <w:p w14:paraId="700183DB">
            <w:pPr>
              <w:jc w:val="left"/>
              <w:rPr>
                <w:color w:val="auto"/>
              </w:rPr>
            </w:pPr>
            <w:r>
              <w:rPr>
                <w:b/>
                <w:bCs/>
                <w:color w:val="auto"/>
                <w:sz w:val="20"/>
                <w:szCs w:val="20"/>
              </w:rPr>
              <w:t>Entity</w:t>
            </w:r>
          </w:p>
        </w:tc>
        <w:tc>
          <w:tcPr>
            <w:tcW w:w="3600" w:type="dxa"/>
            <w:shd w:val="clear" w:color="auto" w:fill="F1F1F1" w:themeFill="background1" w:themeFillShade="F2"/>
            <w:tcMar>
              <w:top w:w="100" w:type="dxa"/>
              <w:left w:w="120" w:type="dxa"/>
              <w:bottom w:w="100" w:type="dxa"/>
              <w:right w:w="120" w:type="dxa"/>
            </w:tcMar>
            <w:vAlign w:val="center"/>
          </w:tcPr>
          <w:p w14:paraId="042EA3E7">
            <w:pPr>
              <w:jc w:val="left"/>
              <w:rPr>
                <w:color w:val="auto"/>
              </w:rPr>
            </w:pPr>
            <w:r>
              <w:rPr>
                <w:b/>
                <w:bCs/>
                <w:color w:val="auto"/>
                <w:sz w:val="20"/>
                <w:szCs w:val="20"/>
              </w:rPr>
              <w:t>Key Attributes</w:t>
            </w:r>
          </w:p>
        </w:tc>
        <w:tc>
          <w:tcPr>
            <w:tcW w:w="3200" w:type="dxa"/>
            <w:shd w:val="clear" w:color="auto" w:fill="F1F1F1" w:themeFill="background1" w:themeFillShade="F2"/>
            <w:tcMar>
              <w:top w:w="100" w:type="dxa"/>
              <w:left w:w="120" w:type="dxa"/>
              <w:bottom w:w="100" w:type="dxa"/>
              <w:right w:w="120" w:type="dxa"/>
            </w:tcMar>
            <w:vAlign w:val="center"/>
          </w:tcPr>
          <w:p w14:paraId="0810760C">
            <w:pPr>
              <w:jc w:val="left"/>
              <w:rPr>
                <w:color w:val="auto"/>
              </w:rPr>
            </w:pPr>
            <w:r>
              <w:rPr>
                <w:b/>
                <w:bCs/>
                <w:color w:val="auto"/>
                <w:sz w:val="20"/>
                <w:szCs w:val="20"/>
              </w:rPr>
              <w:t>Storage</w:t>
            </w:r>
          </w:p>
        </w:tc>
      </w:tr>
      <w:tr w14:paraId="62FB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5BE7D436">
            <w:pPr>
              <w:jc w:val="left"/>
              <w:rPr>
                <w:color w:val="auto"/>
              </w:rPr>
            </w:pPr>
            <w:r>
              <w:rPr>
                <w:b w:val="0"/>
                <w:bCs w:val="0"/>
                <w:color w:val="auto"/>
                <w:sz w:val="20"/>
                <w:szCs w:val="20"/>
              </w:rPr>
              <w:t>Product Batch</w:t>
            </w:r>
          </w:p>
        </w:tc>
        <w:tc>
          <w:tcPr>
            <w:tcW w:w="3600" w:type="dxa"/>
            <w:shd w:val="clear" w:color="auto" w:fill="FFFFFF"/>
            <w:tcMar>
              <w:top w:w="100" w:type="dxa"/>
              <w:left w:w="120" w:type="dxa"/>
              <w:bottom w:w="100" w:type="dxa"/>
              <w:right w:w="120" w:type="dxa"/>
            </w:tcMar>
            <w:vAlign w:val="center"/>
          </w:tcPr>
          <w:p w14:paraId="07F3D5DF">
            <w:pPr>
              <w:jc w:val="left"/>
              <w:rPr>
                <w:color w:val="auto"/>
              </w:rPr>
            </w:pPr>
            <w:r>
              <w:rPr>
                <w:b w:val="0"/>
                <w:bCs w:val="0"/>
                <w:color w:val="auto"/>
                <w:sz w:val="20"/>
                <w:szCs w:val="20"/>
              </w:rPr>
              <w:t>batch_id, source, harvest_date, certification</w:t>
            </w:r>
          </w:p>
        </w:tc>
        <w:tc>
          <w:tcPr>
            <w:tcW w:w="3200" w:type="dxa"/>
            <w:shd w:val="clear" w:color="auto" w:fill="FFFFFF"/>
            <w:tcMar>
              <w:top w:w="100" w:type="dxa"/>
              <w:left w:w="120" w:type="dxa"/>
              <w:bottom w:w="100" w:type="dxa"/>
              <w:right w:w="120" w:type="dxa"/>
            </w:tcMar>
            <w:vAlign w:val="center"/>
          </w:tcPr>
          <w:p w14:paraId="24EE89D8">
            <w:pPr>
              <w:jc w:val="left"/>
              <w:rPr>
                <w:color w:val="auto"/>
              </w:rPr>
            </w:pPr>
            <w:r>
              <w:rPr>
                <w:b w:val="0"/>
                <w:bCs w:val="0"/>
                <w:color w:val="auto"/>
                <w:sz w:val="20"/>
                <w:szCs w:val="20"/>
              </w:rPr>
              <w:t>Relational DB</w:t>
            </w:r>
          </w:p>
        </w:tc>
      </w:tr>
      <w:tr w14:paraId="132F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A6524AD">
            <w:pPr>
              <w:jc w:val="left"/>
              <w:rPr>
                <w:color w:val="auto"/>
              </w:rPr>
            </w:pPr>
            <w:r>
              <w:rPr>
                <w:b w:val="0"/>
                <w:bCs w:val="0"/>
                <w:color w:val="auto"/>
                <w:sz w:val="20"/>
                <w:szCs w:val="20"/>
              </w:rPr>
              <w:t>Sensor Reading</w:t>
            </w:r>
          </w:p>
        </w:tc>
        <w:tc>
          <w:tcPr>
            <w:tcW w:w="3600" w:type="dxa"/>
            <w:shd w:val="clear" w:color="auto" w:fill="FFFFFF"/>
            <w:tcMar>
              <w:top w:w="100" w:type="dxa"/>
              <w:left w:w="120" w:type="dxa"/>
              <w:bottom w:w="100" w:type="dxa"/>
              <w:right w:w="120" w:type="dxa"/>
            </w:tcMar>
            <w:vAlign w:val="center"/>
          </w:tcPr>
          <w:p w14:paraId="47DABF44">
            <w:pPr>
              <w:jc w:val="left"/>
              <w:rPr>
                <w:color w:val="auto"/>
              </w:rPr>
            </w:pPr>
            <w:r>
              <w:rPr>
                <w:b w:val="0"/>
                <w:bCs w:val="0"/>
                <w:color w:val="auto"/>
                <w:sz w:val="20"/>
                <w:szCs w:val="20"/>
              </w:rPr>
              <w:t>sensor_id, batch_id, temp, humidity, timestamp</w:t>
            </w:r>
          </w:p>
        </w:tc>
        <w:tc>
          <w:tcPr>
            <w:tcW w:w="3200" w:type="dxa"/>
            <w:shd w:val="clear" w:color="auto" w:fill="FFFFFF"/>
            <w:tcMar>
              <w:top w:w="100" w:type="dxa"/>
              <w:left w:w="120" w:type="dxa"/>
              <w:bottom w:w="100" w:type="dxa"/>
              <w:right w:w="120" w:type="dxa"/>
            </w:tcMar>
            <w:vAlign w:val="center"/>
          </w:tcPr>
          <w:p w14:paraId="288089F6">
            <w:pPr>
              <w:jc w:val="left"/>
              <w:rPr>
                <w:color w:val="auto"/>
              </w:rPr>
            </w:pPr>
            <w:r>
              <w:rPr>
                <w:b w:val="0"/>
                <w:bCs w:val="0"/>
                <w:color w:val="auto"/>
                <w:sz w:val="20"/>
                <w:szCs w:val="20"/>
              </w:rPr>
              <w:t>Time-series DB (InfluxDB)</w:t>
            </w:r>
          </w:p>
        </w:tc>
      </w:tr>
      <w:tr w14:paraId="1101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65ACEF6F">
            <w:pPr>
              <w:jc w:val="left"/>
              <w:rPr>
                <w:color w:val="auto"/>
              </w:rPr>
            </w:pPr>
            <w:r>
              <w:rPr>
                <w:b w:val="0"/>
                <w:bCs w:val="0"/>
                <w:color w:val="auto"/>
                <w:sz w:val="20"/>
                <w:szCs w:val="20"/>
              </w:rPr>
              <w:t>Custody Transaction</w:t>
            </w:r>
          </w:p>
        </w:tc>
        <w:tc>
          <w:tcPr>
            <w:tcW w:w="3600" w:type="dxa"/>
            <w:shd w:val="clear" w:color="auto" w:fill="FFFFFF"/>
            <w:tcMar>
              <w:top w:w="100" w:type="dxa"/>
              <w:left w:w="120" w:type="dxa"/>
              <w:bottom w:w="100" w:type="dxa"/>
              <w:right w:w="120" w:type="dxa"/>
            </w:tcMar>
            <w:vAlign w:val="center"/>
          </w:tcPr>
          <w:p w14:paraId="6783CE3E">
            <w:pPr>
              <w:jc w:val="left"/>
              <w:rPr>
                <w:color w:val="auto"/>
              </w:rPr>
            </w:pPr>
            <w:r>
              <w:rPr>
                <w:b w:val="0"/>
                <w:bCs w:val="0"/>
                <w:color w:val="auto"/>
                <w:sz w:val="20"/>
                <w:szCs w:val="20"/>
              </w:rPr>
              <w:t>batch_id, from_party, to_party, timestamp, hash</w:t>
            </w:r>
          </w:p>
        </w:tc>
        <w:tc>
          <w:tcPr>
            <w:tcW w:w="3200" w:type="dxa"/>
            <w:shd w:val="clear" w:color="auto" w:fill="FFFFFF"/>
            <w:tcMar>
              <w:top w:w="100" w:type="dxa"/>
              <w:left w:w="120" w:type="dxa"/>
              <w:bottom w:w="100" w:type="dxa"/>
              <w:right w:w="120" w:type="dxa"/>
            </w:tcMar>
            <w:vAlign w:val="center"/>
          </w:tcPr>
          <w:p w14:paraId="2245007C">
            <w:pPr>
              <w:jc w:val="left"/>
              <w:rPr>
                <w:color w:val="auto"/>
              </w:rPr>
            </w:pPr>
            <w:r>
              <w:rPr>
                <w:b w:val="0"/>
                <w:bCs w:val="0"/>
                <w:color w:val="auto"/>
                <w:sz w:val="20"/>
                <w:szCs w:val="20"/>
              </w:rPr>
              <w:t>Blockchain ledger</w:t>
            </w:r>
          </w:p>
        </w:tc>
      </w:tr>
      <w:tr w14:paraId="62B6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603F61C8">
            <w:pPr>
              <w:jc w:val="left"/>
              <w:rPr>
                <w:color w:val="auto"/>
              </w:rPr>
            </w:pPr>
            <w:r>
              <w:rPr>
                <w:b w:val="0"/>
                <w:bCs w:val="0"/>
                <w:color w:val="auto"/>
                <w:sz w:val="20"/>
                <w:szCs w:val="20"/>
              </w:rPr>
              <w:t>Stakeholder</w:t>
            </w:r>
          </w:p>
        </w:tc>
        <w:tc>
          <w:tcPr>
            <w:tcW w:w="3600" w:type="dxa"/>
            <w:shd w:val="clear" w:color="auto" w:fill="FFFFFF"/>
            <w:tcMar>
              <w:top w:w="100" w:type="dxa"/>
              <w:left w:w="120" w:type="dxa"/>
              <w:bottom w:w="100" w:type="dxa"/>
              <w:right w:w="120" w:type="dxa"/>
            </w:tcMar>
            <w:vAlign w:val="center"/>
          </w:tcPr>
          <w:p w14:paraId="72A39E1F">
            <w:pPr>
              <w:jc w:val="left"/>
              <w:rPr>
                <w:color w:val="auto"/>
              </w:rPr>
            </w:pPr>
            <w:r>
              <w:rPr>
                <w:b w:val="0"/>
                <w:bCs w:val="0"/>
                <w:color w:val="auto"/>
                <w:sz w:val="20"/>
                <w:szCs w:val="20"/>
              </w:rPr>
              <w:t>user_id, role, organization, contact</w:t>
            </w:r>
          </w:p>
        </w:tc>
        <w:tc>
          <w:tcPr>
            <w:tcW w:w="3200" w:type="dxa"/>
            <w:shd w:val="clear" w:color="auto" w:fill="FFFFFF"/>
            <w:tcMar>
              <w:top w:w="100" w:type="dxa"/>
              <w:left w:w="120" w:type="dxa"/>
              <w:bottom w:w="100" w:type="dxa"/>
              <w:right w:w="120" w:type="dxa"/>
            </w:tcMar>
            <w:vAlign w:val="center"/>
          </w:tcPr>
          <w:p w14:paraId="75547956">
            <w:pPr>
              <w:jc w:val="left"/>
              <w:rPr>
                <w:color w:val="auto"/>
              </w:rPr>
            </w:pPr>
            <w:r>
              <w:rPr>
                <w:b w:val="0"/>
                <w:bCs w:val="0"/>
                <w:color w:val="auto"/>
                <w:sz w:val="20"/>
                <w:szCs w:val="20"/>
              </w:rPr>
              <w:t>Relational DB</w:t>
            </w:r>
          </w:p>
        </w:tc>
      </w:tr>
      <w:tr w14:paraId="6054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0FA26BF7">
            <w:pPr>
              <w:jc w:val="left"/>
              <w:rPr>
                <w:color w:val="auto"/>
              </w:rPr>
            </w:pPr>
            <w:r>
              <w:rPr>
                <w:b w:val="0"/>
                <w:bCs w:val="0"/>
                <w:color w:val="auto"/>
                <w:sz w:val="20"/>
                <w:szCs w:val="20"/>
              </w:rPr>
              <w:t>Compliance Report</w:t>
            </w:r>
          </w:p>
        </w:tc>
        <w:tc>
          <w:tcPr>
            <w:tcW w:w="3600" w:type="dxa"/>
            <w:shd w:val="clear" w:color="auto" w:fill="FFFFFF"/>
            <w:tcMar>
              <w:top w:w="100" w:type="dxa"/>
              <w:left w:w="120" w:type="dxa"/>
              <w:bottom w:w="100" w:type="dxa"/>
              <w:right w:w="120" w:type="dxa"/>
            </w:tcMar>
            <w:vAlign w:val="center"/>
          </w:tcPr>
          <w:p w14:paraId="5C6F1836">
            <w:pPr>
              <w:jc w:val="left"/>
              <w:rPr>
                <w:color w:val="auto"/>
              </w:rPr>
            </w:pPr>
            <w:r>
              <w:rPr>
                <w:b w:val="0"/>
                <w:bCs w:val="0"/>
                <w:color w:val="auto"/>
                <w:sz w:val="20"/>
                <w:szCs w:val="20"/>
              </w:rPr>
              <w:t>report_id, batch_id, regulation_type, status</w:t>
            </w:r>
          </w:p>
        </w:tc>
        <w:tc>
          <w:tcPr>
            <w:tcW w:w="3200" w:type="dxa"/>
            <w:shd w:val="clear" w:color="auto" w:fill="FFFFFF"/>
            <w:tcMar>
              <w:top w:w="100" w:type="dxa"/>
              <w:left w:w="120" w:type="dxa"/>
              <w:bottom w:w="100" w:type="dxa"/>
              <w:right w:w="120" w:type="dxa"/>
            </w:tcMar>
            <w:vAlign w:val="center"/>
          </w:tcPr>
          <w:p w14:paraId="070E1928">
            <w:pPr>
              <w:jc w:val="left"/>
              <w:rPr>
                <w:color w:val="auto"/>
              </w:rPr>
            </w:pPr>
            <w:r>
              <w:rPr>
                <w:b w:val="0"/>
                <w:bCs w:val="0"/>
                <w:color w:val="auto"/>
                <w:sz w:val="20"/>
                <w:szCs w:val="20"/>
              </w:rPr>
              <w:t>Relational DB / Document store</w:t>
            </w:r>
          </w:p>
        </w:tc>
      </w:tr>
      <w:tr w14:paraId="681D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0AE95BA9">
            <w:pPr>
              <w:jc w:val="left"/>
              <w:rPr>
                <w:color w:val="auto"/>
              </w:rPr>
            </w:pPr>
            <w:r>
              <w:rPr>
                <w:b w:val="0"/>
                <w:bCs w:val="0"/>
                <w:color w:val="auto"/>
                <w:sz w:val="20"/>
                <w:szCs w:val="20"/>
              </w:rPr>
              <w:t>Alert Log</w:t>
            </w:r>
          </w:p>
        </w:tc>
        <w:tc>
          <w:tcPr>
            <w:tcW w:w="3600" w:type="dxa"/>
            <w:shd w:val="clear" w:color="auto" w:fill="FFFFFF"/>
            <w:tcMar>
              <w:top w:w="100" w:type="dxa"/>
              <w:left w:w="120" w:type="dxa"/>
              <w:bottom w:w="100" w:type="dxa"/>
              <w:right w:w="120" w:type="dxa"/>
            </w:tcMar>
            <w:vAlign w:val="center"/>
          </w:tcPr>
          <w:p w14:paraId="77874D82">
            <w:pPr>
              <w:jc w:val="left"/>
              <w:rPr>
                <w:color w:val="auto"/>
              </w:rPr>
            </w:pPr>
            <w:r>
              <w:rPr>
                <w:b w:val="0"/>
                <w:bCs w:val="0"/>
                <w:color w:val="auto"/>
                <w:sz w:val="20"/>
                <w:szCs w:val="20"/>
              </w:rPr>
              <w:t>alert_id, batch_id, type, severity, timestamp</w:t>
            </w:r>
          </w:p>
        </w:tc>
        <w:tc>
          <w:tcPr>
            <w:tcW w:w="3200" w:type="dxa"/>
            <w:shd w:val="clear" w:color="auto" w:fill="FFFFFF"/>
            <w:tcMar>
              <w:top w:w="100" w:type="dxa"/>
              <w:left w:w="120" w:type="dxa"/>
              <w:bottom w:w="100" w:type="dxa"/>
              <w:right w:w="120" w:type="dxa"/>
            </w:tcMar>
            <w:vAlign w:val="center"/>
          </w:tcPr>
          <w:p w14:paraId="182FA17E">
            <w:pPr>
              <w:jc w:val="left"/>
              <w:rPr>
                <w:color w:val="auto"/>
              </w:rPr>
            </w:pPr>
            <w:r>
              <w:rPr>
                <w:b w:val="0"/>
                <w:bCs w:val="0"/>
                <w:color w:val="auto"/>
                <w:sz w:val="20"/>
                <w:szCs w:val="20"/>
              </w:rPr>
              <w:t>Relational DB</w:t>
            </w:r>
          </w:p>
        </w:tc>
      </w:tr>
    </w:tbl>
    <w:p w14:paraId="217739A8">
      <w:pPr>
        <w:pStyle w:val="2"/>
        <w:spacing w:before="400" w:after="200"/>
        <w:rPr>
          <w:color w:val="auto"/>
        </w:rPr>
      </w:pPr>
      <w:r>
        <w:rPr>
          <w:b/>
          <w:bCs/>
          <w:color w:val="auto"/>
          <w:sz w:val="30"/>
          <w:szCs w:val="30"/>
        </w:rPr>
        <w:t>11. Implementation Approach</w:t>
      </w:r>
    </w:p>
    <w:p w14:paraId="729D49DE">
      <w:pPr>
        <w:pStyle w:val="3"/>
        <w:spacing w:before="280" w:after="140"/>
        <w:rPr>
          <w:color w:val="auto"/>
        </w:rPr>
      </w:pPr>
      <w:r>
        <w:rPr>
          <w:b/>
          <w:bCs/>
          <w:color w:val="auto"/>
          <w:sz w:val="25"/>
          <w:szCs w:val="25"/>
        </w:rPr>
        <w:t>11.1 Prototype Strategy</w:t>
      </w:r>
    </w:p>
    <w:p w14:paraId="52523821">
      <w:pPr>
        <w:spacing w:after="160" w:line="300" w:lineRule="auto"/>
        <w:jc w:val="both"/>
        <w:rPr>
          <w:color w:val="auto"/>
        </w:rPr>
      </w:pPr>
      <w:r>
        <w:rPr>
          <w:color w:val="auto"/>
          <w:sz w:val="22"/>
          <w:szCs w:val="22"/>
        </w:rPr>
        <w:t>A phased prototype is recommended: first simulate sensor data streams and validate the AI spoilage-prediction pipeline; next integrate a small blockchain testnet (e.g., a local Hyperledger Fabric network) to record simulated custody events; finally connect a basic web dashboard to visualize product journeys and alerts end-to-end before moving to real hardware deployment.</w:t>
      </w:r>
    </w:p>
    <w:p w14:paraId="11E77C26">
      <w:pPr>
        <w:pStyle w:val="3"/>
        <w:spacing w:before="280" w:after="140"/>
        <w:rPr>
          <w:color w:val="auto"/>
        </w:rPr>
      </w:pPr>
      <w:r>
        <w:rPr>
          <w:b/>
          <w:bCs/>
          <w:color w:val="auto"/>
          <w:sz w:val="25"/>
          <w:szCs w:val="25"/>
        </w:rPr>
        <w:t>11.2 Key Implementation Steps</w:t>
      </w:r>
    </w:p>
    <w:p w14:paraId="50C40D2C">
      <w:pPr>
        <w:pStyle w:val="16"/>
        <w:numPr>
          <w:ilvl w:val="0"/>
          <w:numId w:val="4"/>
        </w:numPr>
        <w:spacing w:after="90"/>
        <w:ind w:left="425" w:leftChars="0" w:hanging="425" w:firstLineChars="0"/>
        <w:rPr>
          <w:color w:val="auto"/>
        </w:rPr>
      </w:pPr>
      <w:r>
        <w:rPr>
          <w:color w:val="auto"/>
          <w:sz w:val="22"/>
          <w:szCs w:val="22"/>
        </w:rPr>
        <w:t>Set up cloud infrastructure (compute, storage, messaging queue).</w:t>
      </w:r>
    </w:p>
    <w:p w14:paraId="3C89B61A">
      <w:pPr>
        <w:pStyle w:val="16"/>
        <w:numPr>
          <w:ilvl w:val="0"/>
          <w:numId w:val="4"/>
        </w:numPr>
        <w:spacing w:after="90"/>
        <w:ind w:left="425" w:leftChars="0" w:hanging="425" w:firstLineChars="0"/>
        <w:rPr>
          <w:color w:val="auto"/>
        </w:rPr>
      </w:pPr>
      <w:r>
        <w:rPr>
          <w:color w:val="auto"/>
          <w:sz w:val="22"/>
          <w:szCs w:val="22"/>
        </w:rPr>
        <w:t>Develop APIs for device data ingestion and stakeholder access.</w:t>
      </w:r>
    </w:p>
    <w:p w14:paraId="03E8B794">
      <w:pPr>
        <w:pStyle w:val="16"/>
        <w:numPr>
          <w:ilvl w:val="0"/>
          <w:numId w:val="4"/>
        </w:numPr>
        <w:spacing w:after="90"/>
        <w:ind w:left="425" w:leftChars="0" w:hanging="425" w:firstLineChars="0"/>
        <w:rPr>
          <w:color w:val="auto"/>
        </w:rPr>
      </w:pPr>
      <w:r>
        <w:rPr>
          <w:color w:val="auto"/>
          <w:sz w:val="22"/>
          <w:szCs w:val="22"/>
        </w:rPr>
        <w:t>Train and validate AI models on historical or synthetic spoilage datasets.</w:t>
      </w:r>
    </w:p>
    <w:p w14:paraId="429A39E7">
      <w:pPr>
        <w:pStyle w:val="16"/>
        <w:numPr>
          <w:ilvl w:val="0"/>
          <w:numId w:val="4"/>
        </w:numPr>
        <w:spacing w:after="90"/>
        <w:ind w:left="425" w:leftChars="0" w:hanging="425" w:firstLineChars="0"/>
        <w:rPr>
          <w:color w:val="auto"/>
        </w:rPr>
      </w:pPr>
      <w:r>
        <w:rPr>
          <w:color w:val="auto"/>
          <w:sz w:val="22"/>
          <w:szCs w:val="22"/>
        </w:rPr>
        <w:t>Deploy blockchain smart contracts for custody and certification events.</w:t>
      </w:r>
    </w:p>
    <w:p w14:paraId="5F66DB31">
      <w:pPr>
        <w:pStyle w:val="16"/>
        <w:numPr>
          <w:ilvl w:val="0"/>
          <w:numId w:val="4"/>
        </w:numPr>
        <w:spacing w:after="90"/>
        <w:ind w:left="425" w:leftChars="0" w:hanging="425" w:firstLineChars="0"/>
        <w:rPr>
          <w:color w:val="auto"/>
        </w:rPr>
      </w:pPr>
      <w:r>
        <w:rPr>
          <w:color w:val="auto"/>
          <w:sz w:val="22"/>
          <w:szCs w:val="22"/>
        </w:rPr>
        <w:t>Build role-based dashboards and mobile notification integration.</w:t>
      </w:r>
    </w:p>
    <w:p w14:paraId="3EDBCC3B">
      <w:pPr>
        <w:pStyle w:val="16"/>
        <w:numPr>
          <w:ilvl w:val="0"/>
          <w:numId w:val="4"/>
        </w:numPr>
        <w:spacing w:after="90"/>
        <w:ind w:left="425" w:leftChars="0" w:hanging="425" w:firstLineChars="0"/>
        <w:rPr>
          <w:color w:val="auto"/>
        </w:rPr>
      </w:pPr>
      <w:r>
        <w:rPr>
          <w:color w:val="auto"/>
          <w:sz w:val="22"/>
          <w:szCs w:val="22"/>
        </w:rPr>
        <w:t>Conduct pilot testing with a limited set of products/sensors before scaling.</w:t>
      </w:r>
    </w:p>
    <w:p w14:paraId="6C4AAAF4">
      <w:pPr>
        <w:pStyle w:val="2"/>
        <w:spacing w:before="400" w:after="200"/>
        <w:rPr>
          <w:color w:val="auto"/>
        </w:rPr>
      </w:pPr>
      <w:r>
        <w:rPr>
          <w:b/>
          <w:bCs/>
          <w:color w:val="auto"/>
          <w:sz w:val="30"/>
          <w:szCs w:val="30"/>
        </w:rPr>
        <w:t>12. Testing and Validation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200"/>
      </w:tblGrid>
      <w:tr w14:paraId="5959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1F1F1" w:themeFill="background1" w:themeFillShade="F2"/>
            <w:tcMar>
              <w:top w:w="100" w:type="dxa"/>
              <w:left w:w="120" w:type="dxa"/>
              <w:bottom w:w="100" w:type="dxa"/>
              <w:right w:w="120" w:type="dxa"/>
            </w:tcMar>
            <w:vAlign w:val="center"/>
          </w:tcPr>
          <w:p w14:paraId="6003708C">
            <w:pPr>
              <w:jc w:val="left"/>
              <w:rPr>
                <w:color w:val="auto"/>
              </w:rPr>
            </w:pPr>
            <w:r>
              <w:rPr>
                <w:b/>
                <w:bCs/>
                <w:color w:val="auto"/>
                <w:sz w:val="20"/>
                <w:szCs w:val="20"/>
              </w:rPr>
              <w:t>Testing Type</w:t>
            </w:r>
          </w:p>
        </w:tc>
        <w:tc>
          <w:tcPr>
            <w:tcW w:w="3400" w:type="dxa"/>
            <w:shd w:val="clear" w:color="auto" w:fill="F1F1F1" w:themeFill="background1" w:themeFillShade="F2"/>
            <w:tcMar>
              <w:top w:w="100" w:type="dxa"/>
              <w:left w:w="120" w:type="dxa"/>
              <w:bottom w:w="100" w:type="dxa"/>
              <w:right w:w="120" w:type="dxa"/>
            </w:tcMar>
            <w:vAlign w:val="center"/>
          </w:tcPr>
          <w:p w14:paraId="733F3B39">
            <w:pPr>
              <w:jc w:val="left"/>
              <w:rPr>
                <w:color w:val="auto"/>
              </w:rPr>
            </w:pPr>
            <w:r>
              <w:rPr>
                <w:b/>
                <w:bCs/>
                <w:color w:val="auto"/>
                <w:sz w:val="20"/>
                <w:szCs w:val="20"/>
              </w:rPr>
              <w:t>Focus Area</w:t>
            </w:r>
          </w:p>
        </w:tc>
        <w:tc>
          <w:tcPr>
            <w:tcW w:w="3200" w:type="dxa"/>
            <w:shd w:val="clear" w:color="auto" w:fill="F1F1F1" w:themeFill="background1" w:themeFillShade="F2"/>
            <w:tcMar>
              <w:top w:w="100" w:type="dxa"/>
              <w:left w:w="120" w:type="dxa"/>
              <w:bottom w:w="100" w:type="dxa"/>
              <w:right w:w="120" w:type="dxa"/>
            </w:tcMar>
            <w:vAlign w:val="center"/>
          </w:tcPr>
          <w:p w14:paraId="2444E4E2">
            <w:pPr>
              <w:jc w:val="left"/>
              <w:rPr>
                <w:color w:val="auto"/>
              </w:rPr>
            </w:pPr>
            <w:r>
              <w:rPr>
                <w:b/>
                <w:bCs/>
                <w:color w:val="auto"/>
                <w:sz w:val="20"/>
                <w:szCs w:val="20"/>
              </w:rPr>
              <w:t>Objective</w:t>
            </w:r>
          </w:p>
        </w:tc>
      </w:tr>
      <w:tr w14:paraId="1983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36777F44">
            <w:pPr>
              <w:jc w:val="left"/>
              <w:rPr>
                <w:color w:val="auto"/>
              </w:rPr>
            </w:pPr>
            <w:r>
              <w:rPr>
                <w:b w:val="0"/>
                <w:bCs w:val="0"/>
                <w:color w:val="auto"/>
                <w:sz w:val="20"/>
                <w:szCs w:val="20"/>
              </w:rPr>
              <w:t>Unit Testing</w:t>
            </w:r>
          </w:p>
        </w:tc>
        <w:tc>
          <w:tcPr>
            <w:tcW w:w="3400" w:type="dxa"/>
            <w:shd w:val="clear" w:color="auto" w:fill="FFFFFF"/>
            <w:tcMar>
              <w:top w:w="100" w:type="dxa"/>
              <w:left w:w="120" w:type="dxa"/>
              <w:bottom w:w="100" w:type="dxa"/>
              <w:right w:w="120" w:type="dxa"/>
            </w:tcMar>
            <w:vAlign w:val="center"/>
          </w:tcPr>
          <w:p w14:paraId="6731D97D">
            <w:pPr>
              <w:jc w:val="left"/>
              <w:rPr>
                <w:color w:val="auto"/>
              </w:rPr>
            </w:pPr>
            <w:r>
              <w:rPr>
                <w:b w:val="0"/>
                <w:bCs w:val="0"/>
                <w:color w:val="auto"/>
                <w:sz w:val="20"/>
                <w:szCs w:val="20"/>
              </w:rPr>
              <w:t>Individual modules (AI model, API endpoints)</w:t>
            </w:r>
          </w:p>
        </w:tc>
        <w:tc>
          <w:tcPr>
            <w:tcW w:w="3200" w:type="dxa"/>
            <w:shd w:val="clear" w:color="auto" w:fill="FFFFFF"/>
            <w:tcMar>
              <w:top w:w="100" w:type="dxa"/>
              <w:left w:w="120" w:type="dxa"/>
              <w:bottom w:w="100" w:type="dxa"/>
              <w:right w:w="120" w:type="dxa"/>
            </w:tcMar>
            <w:vAlign w:val="center"/>
          </w:tcPr>
          <w:p w14:paraId="14805ADE">
            <w:pPr>
              <w:jc w:val="left"/>
              <w:rPr>
                <w:color w:val="auto"/>
              </w:rPr>
            </w:pPr>
            <w:r>
              <w:rPr>
                <w:b w:val="0"/>
                <w:bCs w:val="0"/>
                <w:color w:val="auto"/>
                <w:sz w:val="20"/>
                <w:szCs w:val="20"/>
              </w:rPr>
              <w:t>Verify correctness of isolated components</w:t>
            </w:r>
          </w:p>
        </w:tc>
      </w:tr>
      <w:tr w14:paraId="5584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3020DA20">
            <w:pPr>
              <w:jc w:val="left"/>
              <w:rPr>
                <w:color w:val="auto"/>
              </w:rPr>
            </w:pPr>
            <w:r>
              <w:rPr>
                <w:b w:val="0"/>
                <w:bCs w:val="0"/>
                <w:color w:val="auto"/>
                <w:sz w:val="20"/>
                <w:szCs w:val="20"/>
              </w:rPr>
              <w:t>Integration Testing</w:t>
            </w:r>
          </w:p>
        </w:tc>
        <w:tc>
          <w:tcPr>
            <w:tcW w:w="3400" w:type="dxa"/>
            <w:shd w:val="clear" w:color="auto" w:fill="FFFFFF"/>
            <w:tcMar>
              <w:top w:w="100" w:type="dxa"/>
              <w:left w:w="120" w:type="dxa"/>
              <w:bottom w:w="100" w:type="dxa"/>
              <w:right w:w="120" w:type="dxa"/>
            </w:tcMar>
            <w:vAlign w:val="center"/>
          </w:tcPr>
          <w:p w14:paraId="3331A28E">
            <w:pPr>
              <w:jc w:val="left"/>
              <w:rPr>
                <w:color w:val="auto"/>
              </w:rPr>
            </w:pPr>
            <w:r>
              <w:rPr>
                <w:b w:val="0"/>
                <w:bCs w:val="0"/>
                <w:color w:val="auto"/>
                <w:sz w:val="20"/>
                <w:szCs w:val="20"/>
              </w:rPr>
              <w:t>Sensor-to-cloud-to-blockchain pipeline</w:t>
            </w:r>
          </w:p>
        </w:tc>
        <w:tc>
          <w:tcPr>
            <w:tcW w:w="3200" w:type="dxa"/>
            <w:shd w:val="clear" w:color="auto" w:fill="FFFFFF"/>
            <w:tcMar>
              <w:top w:w="100" w:type="dxa"/>
              <w:left w:w="120" w:type="dxa"/>
              <w:bottom w:w="100" w:type="dxa"/>
              <w:right w:w="120" w:type="dxa"/>
            </w:tcMar>
            <w:vAlign w:val="center"/>
          </w:tcPr>
          <w:p w14:paraId="40F8B0BD">
            <w:pPr>
              <w:jc w:val="left"/>
              <w:rPr>
                <w:color w:val="auto"/>
              </w:rPr>
            </w:pPr>
            <w:r>
              <w:rPr>
                <w:b w:val="0"/>
                <w:bCs w:val="0"/>
                <w:color w:val="auto"/>
                <w:sz w:val="20"/>
                <w:szCs w:val="20"/>
              </w:rPr>
              <w:t>Ensure seamless data flow across layers</w:t>
            </w:r>
          </w:p>
        </w:tc>
      </w:tr>
      <w:tr w14:paraId="0BED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0EDFA8C7">
            <w:pPr>
              <w:jc w:val="left"/>
              <w:rPr>
                <w:color w:val="auto"/>
              </w:rPr>
            </w:pPr>
            <w:r>
              <w:rPr>
                <w:b w:val="0"/>
                <w:bCs w:val="0"/>
                <w:color w:val="auto"/>
                <w:sz w:val="20"/>
                <w:szCs w:val="20"/>
              </w:rPr>
              <w:t>Model Validation</w:t>
            </w:r>
          </w:p>
        </w:tc>
        <w:tc>
          <w:tcPr>
            <w:tcW w:w="3400" w:type="dxa"/>
            <w:shd w:val="clear" w:color="auto" w:fill="FFFFFF"/>
            <w:tcMar>
              <w:top w:w="100" w:type="dxa"/>
              <w:left w:w="120" w:type="dxa"/>
              <w:bottom w:w="100" w:type="dxa"/>
              <w:right w:w="120" w:type="dxa"/>
            </w:tcMar>
            <w:vAlign w:val="center"/>
          </w:tcPr>
          <w:p w14:paraId="5CF098BA">
            <w:pPr>
              <w:jc w:val="left"/>
              <w:rPr>
                <w:color w:val="auto"/>
              </w:rPr>
            </w:pPr>
            <w:r>
              <w:rPr>
                <w:b w:val="0"/>
                <w:bCs w:val="0"/>
                <w:color w:val="auto"/>
                <w:sz w:val="20"/>
                <w:szCs w:val="20"/>
              </w:rPr>
              <w:t>AI spoilage prediction accuracy</w:t>
            </w:r>
          </w:p>
        </w:tc>
        <w:tc>
          <w:tcPr>
            <w:tcW w:w="3200" w:type="dxa"/>
            <w:shd w:val="clear" w:color="auto" w:fill="FFFFFF"/>
            <w:tcMar>
              <w:top w:w="100" w:type="dxa"/>
              <w:left w:w="120" w:type="dxa"/>
              <w:bottom w:w="100" w:type="dxa"/>
              <w:right w:w="120" w:type="dxa"/>
            </w:tcMar>
            <w:vAlign w:val="center"/>
          </w:tcPr>
          <w:p w14:paraId="52803750">
            <w:pPr>
              <w:jc w:val="left"/>
              <w:rPr>
                <w:color w:val="auto"/>
              </w:rPr>
            </w:pPr>
            <w:r>
              <w:rPr>
                <w:b w:val="0"/>
                <w:bCs w:val="0"/>
                <w:color w:val="auto"/>
                <w:sz w:val="20"/>
                <w:szCs w:val="20"/>
              </w:rPr>
              <w:t>Compare predictions against known outcomes</w:t>
            </w:r>
          </w:p>
        </w:tc>
      </w:tr>
      <w:tr w14:paraId="7E22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0A69585C">
            <w:pPr>
              <w:jc w:val="left"/>
              <w:rPr>
                <w:color w:val="auto"/>
              </w:rPr>
            </w:pPr>
            <w:r>
              <w:rPr>
                <w:b w:val="0"/>
                <w:bCs w:val="0"/>
                <w:color w:val="auto"/>
                <w:sz w:val="20"/>
                <w:szCs w:val="20"/>
              </w:rPr>
              <w:t>Load Testing</w:t>
            </w:r>
          </w:p>
        </w:tc>
        <w:tc>
          <w:tcPr>
            <w:tcW w:w="3400" w:type="dxa"/>
            <w:shd w:val="clear" w:color="auto" w:fill="FFFFFF"/>
            <w:tcMar>
              <w:top w:w="100" w:type="dxa"/>
              <w:left w:w="120" w:type="dxa"/>
              <w:bottom w:w="100" w:type="dxa"/>
              <w:right w:w="120" w:type="dxa"/>
            </w:tcMar>
            <w:vAlign w:val="center"/>
          </w:tcPr>
          <w:p w14:paraId="4C36CC66">
            <w:pPr>
              <w:jc w:val="left"/>
              <w:rPr>
                <w:color w:val="auto"/>
              </w:rPr>
            </w:pPr>
            <w:r>
              <w:rPr>
                <w:b w:val="0"/>
                <w:bCs w:val="0"/>
                <w:color w:val="auto"/>
                <w:sz w:val="20"/>
                <w:szCs w:val="20"/>
              </w:rPr>
              <w:t>High-frequency sensor data ingestion</w:t>
            </w:r>
          </w:p>
        </w:tc>
        <w:tc>
          <w:tcPr>
            <w:tcW w:w="3200" w:type="dxa"/>
            <w:shd w:val="clear" w:color="auto" w:fill="FFFFFF"/>
            <w:tcMar>
              <w:top w:w="100" w:type="dxa"/>
              <w:left w:w="120" w:type="dxa"/>
              <w:bottom w:w="100" w:type="dxa"/>
              <w:right w:w="120" w:type="dxa"/>
            </w:tcMar>
            <w:vAlign w:val="center"/>
          </w:tcPr>
          <w:p w14:paraId="08AD46E8">
            <w:pPr>
              <w:jc w:val="left"/>
              <w:rPr>
                <w:color w:val="auto"/>
              </w:rPr>
            </w:pPr>
            <w:r>
              <w:rPr>
                <w:b w:val="0"/>
                <w:bCs w:val="0"/>
                <w:color w:val="auto"/>
                <w:sz w:val="20"/>
                <w:szCs w:val="20"/>
              </w:rPr>
              <w:t>Confirm system scales to many concurrent devices</w:t>
            </w:r>
          </w:p>
        </w:tc>
      </w:tr>
      <w:tr w14:paraId="6364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61AFA815">
            <w:pPr>
              <w:jc w:val="left"/>
              <w:rPr>
                <w:color w:val="auto"/>
              </w:rPr>
            </w:pPr>
            <w:r>
              <w:rPr>
                <w:b w:val="0"/>
                <w:bCs w:val="0"/>
                <w:color w:val="auto"/>
                <w:sz w:val="20"/>
                <w:szCs w:val="20"/>
              </w:rPr>
              <w:t>Security Testing</w:t>
            </w:r>
          </w:p>
        </w:tc>
        <w:tc>
          <w:tcPr>
            <w:tcW w:w="3400" w:type="dxa"/>
            <w:shd w:val="clear" w:color="auto" w:fill="FFFFFF"/>
            <w:tcMar>
              <w:top w:w="100" w:type="dxa"/>
              <w:left w:w="120" w:type="dxa"/>
              <w:bottom w:w="100" w:type="dxa"/>
              <w:right w:w="120" w:type="dxa"/>
            </w:tcMar>
            <w:vAlign w:val="center"/>
          </w:tcPr>
          <w:p w14:paraId="54994664">
            <w:pPr>
              <w:jc w:val="left"/>
              <w:rPr>
                <w:color w:val="auto"/>
              </w:rPr>
            </w:pPr>
            <w:r>
              <w:rPr>
                <w:b w:val="0"/>
                <w:bCs w:val="0"/>
                <w:color w:val="auto"/>
                <w:sz w:val="20"/>
                <w:szCs w:val="20"/>
              </w:rPr>
              <w:t>Blockchain and API access control</w:t>
            </w:r>
          </w:p>
        </w:tc>
        <w:tc>
          <w:tcPr>
            <w:tcW w:w="3200" w:type="dxa"/>
            <w:shd w:val="clear" w:color="auto" w:fill="FFFFFF"/>
            <w:tcMar>
              <w:top w:w="100" w:type="dxa"/>
              <w:left w:w="120" w:type="dxa"/>
              <w:bottom w:w="100" w:type="dxa"/>
              <w:right w:w="120" w:type="dxa"/>
            </w:tcMar>
            <w:vAlign w:val="center"/>
          </w:tcPr>
          <w:p w14:paraId="26CD9E8F">
            <w:pPr>
              <w:jc w:val="left"/>
              <w:rPr>
                <w:color w:val="auto"/>
              </w:rPr>
            </w:pPr>
            <w:r>
              <w:rPr>
                <w:b w:val="0"/>
                <w:bCs w:val="0"/>
                <w:color w:val="auto"/>
                <w:sz w:val="20"/>
                <w:szCs w:val="20"/>
              </w:rPr>
              <w:t>Prevent tampering and unauthorized access</w:t>
            </w:r>
          </w:p>
        </w:tc>
      </w:tr>
      <w:tr w14:paraId="7A83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58307519">
            <w:pPr>
              <w:jc w:val="left"/>
              <w:rPr>
                <w:color w:val="auto"/>
              </w:rPr>
            </w:pPr>
            <w:r>
              <w:rPr>
                <w:b w:val="0"/>
                <w:bCs w:val="0"/>
                <w:color w:val="auto"/>
                <w:sz w:val="20"/>
                <w:szCs w:val="20"/>
              </w:rPr>
              <w:t>User Acceptance Testing</w:t>
            </w:r>
          </w:p>
        </w:tc>
        <w:tc>
          <w:tcPr>
            <w:tcW w:w="3400" w:type="dxa"/>
            <w:shd w:val="clear" w:color="auto" w:fill="FFFFFF"/>
            <w:tcMar>
              <w:top w:w="100" w:type="dxa"/>
              <w:left w:w="120" w:type="dxa"/>
              <w:bottom w:w="100" w:type="dxa"/>
              <w:right w:w="120" w:type="dxa"/>
            </w:tcMar>
            <w:vAlign w:val="center"/>
          </w:tcPr>
          <w:p w14:paraId="0D470886">
            <w:pPr>
              <w:jc w:val="left"/>
              <w:rPr>
                <w:color w:val="auto"/>
              </w:rPr>
            </w:pPr>
            <w:r>
              <w:rPr>
                <w:b w:val="0"/>
                <w:bCs w:val="0"/>
                <w:color w:val="auto"/>
                <w:sz w:val="20"/>
                <w:szCs w:val="20"/>
              </w:rPr>
              <w:t>Dashboards and alerts</w:t>
            </w:r>
          </w:p>
        </w:tc>
        <w:tc>
          <w:tcPr>
            <w:tcW w:w="3200" w:type="dxa"/>
            <w:shd w:val="clear" w:color="auto" w:fill="FFFFFF"/>
            <w:tcMar>
              <w:top w:w="100" w:type="dxa"/>
              <w:left w:w="120" w:type="dxa"/>
              <w:bottom w:w="100" w:type="dxa"/>
              <w:right w:w="120" w:type="dxa"/>
            </w:tcMar>
            <w:vAlign w:val="center"/>
          </w:tcPr>
          <w:p w14:paraId="758A3237">
            <w:pPr>
              <w:jc w:val="left"/>
              <w:rPr>
                <w:color w:val="auto"/>
              </w:rPr>
            </w:pPr>
            <w:r>
              <w:rPr>
                <w:b w:val="0"/>
                <w:bCs w:val="0"/>
                <w:color w:val="auto"/>
                <w:sz w:val="20"/>
                <w:szCs w:val="20"/>
              </w:rPr>
              <w:t>Confirm usability for non-technical stakeholders</w:t>
            </w:r>
          </w:p>
        </w:tc>
      </w:tr>
    </w:tbl>
    <w:p w14:paraId="768601C3">
      <w:pPr>
        <w:pStyle w:val="2"/>
        <w:spacing w:before="400" w:after="200"/>
        <w:rPr>
          <w:color w:val="auto"/>
        </w:rPr>
      </w:pPr>
      <w:r>
        <w:rPr>
          <w:b/>
          <w:bCs/>
          <w:color w:val="auto"/>
          <w:sz w:val="30"/>
          <w:szCs w:val="30"/>
        </w:rPr>
        <w:t>13. Expected Outcomes</w:t>
      </w:r>
    </w:p>
    <w:p w14:paraId="57158BA0">
      <w:pPr>
        <w:pStyle w:val="16"/>
        <w:numPr>
          <w:ilvl w:val="0"/>
          <w:numId w:val="5"/>
        </w:numPr>
        <w:spacing w:after="90"/>
        <w:ind w:left="425" w:leftChars="0" w:hanging="425" w:firstLineChars="0"/>
        <w:rPr>
          <w:color w:val="auto"/>
        </w:rPr>
      </w:pPr>
      <w:r>
        <w:rPr>
          <w:color w:val="auto"/>
          <w:sz w:val="22"/>
          <w:szCs w:val="22"/>
        </w:rPr>
        <w:t>Improved food traceability through end-to-end, verifiable product journeys.</w:t>
      </w:r>
    </w:p>
    <w:p w14:paraId="2A1D1A08">
      <w:pPr>
        <w:pStyle w:val="16"/>
        <w:numPr>
          <w:ilvl w:val="0"/>
          <w:numId w:val="5"/>
        </w:numPr>
        <w:spacing w:after="90"/>
        <w:ind w:left="425" w:leftChars="0" w:hanging="425" w:firstLineChars="0"/>
        <w:rPr>
          <w:color w:val="auto"/>
        </w:rPr>
      </w:pPr>
      <w:r>
        <w:rPr>
          <w:color w:val="auto"/>
          <w:sz w:val="22"/>
          <w:szCs w:val="22"/>
        </w:rPr>
        <w:t>Reduced food spoilage via early, AI-driven risk detection.</w:t>
      </w:r>
    </w:p>
    <w:p w14:paraId="5F3453EF">
      <w:pPr>
        <w:pStyle w:val="16"/>
        <w:numPr>
          <w:ilvl w:val="0"/>
          <w:numId w:val="5"/>
        </w:numPr>
        <w:spacing w:after="90"/>
        <w:ind w:left="425" w:leftChars="0" w:hanging="425" w:firstLineChars="0"/>
        <w:rPr>
          <w:color w:val="auto"/>
        </w:rPr>
      </w:pPr>
      <w:r>
        <w:rPr>
          <w:color w:val="auto"/>
          <w:sz w:val="22"/>
          <w:szCs w:val="22"/>
        </w:rPr>
        <w:t>Enhanced consumer confidence through transparent, scannable product histories.</w:t>
      </w:r>
    </w:p>
    <w:p w14:paraId="470F0567">
      <w:pPr>
        <w:pStyle w:val="16"/>
        <w:numPr>
          <w:ilvl w:val="0"/>
          <w:numId w:val="5"/>
        </w:numPr>
        <w:spacing w:after="90"/>
        <w:ind w:left="425" w:leftChars="0" w:hanging="425" w:firstLineChars="0"/>
        <w:rPr>
          <w:color w:val="auto"/>
        </w:rPr>
      </w:pPr>
      <w:r>
        <w:rPr>
          <w:color w:val="auto"/>
          <w:sz w:val="22"/>
          <w:szCs w:val="22"/>
        </w:rPr>
        <w:t>Better supply chain transparency across all participating stakeholders.</w:t>
      </w:r>
    </w:p>
    <w:p w14:paraId="64F40E69">
      <w:pPr>
        <w:pStyle w:val="16"/>
        <w:numPr>
          <w:ilvl w:val="0"/>
          <w:numId w:val="5"/>
        </w:numPr>
        <w:spacing w:after="90"/>
        <w:ind w:left="425" w:leftChars="0" w:hanging="425" w:firstLineChars="0"/>
        <w:rPr>
          <w:color w:val="auto"/>
        </w:rPr>
      </w:pPr>
      <w:r>
        <w:rPr>
          <w:color w:val="auto"/>
          <w:sz w:val="22"/>
          <w:szCs w:val="22"/>
        </w:rPr>
        <w:t>Increased regulatory compliance through automated, accurate reporting.</w:t>
      </w:r>
    </w:p>
    <w:p w14:paraId="70B40D1C">
      <w:pPr>
        <w:pStyle w:val="16"/>
        <w:numPr>
          <w:ilvl w:val="0"/>
          <w:numId w:val="5"/>
        </w:numPr>
        <w:spacing w:after="90"/>
        <w:ind w:left="425" w:leftChars="0" w:hanging="425" w:firstLineChars="0"/>
        <w:rPr>
          <w:color w:val="auto"/>
        </w:rPr>
      </w:pPr>
      <w:r>
        <w:rPr>
          <w:color w:val="auto"/>
          <w:sz w:val="22"/>
          <w:szCs w:val="22"/>
        </w:rPr>
        <w:t>Lower operational losses from faster, targeted recalls instead of blanket recalls.</w:t>
      </w:r>
    </w:p>
    <w:p w14:paraId="1DA1324F">
      <w:pPr>
        <w:pStyle w:val="16"/>
        <w:numPr>
          <w:ilvl w:val="0"/>
          <w:numId w:val="5"/>
        </w:numPr>
        <w:spacing w:after="90"/>
        <w:ind w:left="425" w:leftChars="0" w:hanging="425" w:firstLineChars="0"/>
        <w:rPr>
          <w:color w:val="auto"/>
        </w:rPr>
      </w:pPr>
      <w:r>
        <w:rPr>
          <w:color w:val="auto"/>
          <w:sz w:val="22"/>
          <w:szCs w:val="22"/>
        </w:rPr>
        <w:t>Improved overall food quality through proactive cold-chain management.</w:t>
      </w:r>
    </w:p>
    <w:p w14:paraId="1906825D">
      <w:pPr>
        <w:pStyle w:val="16"/>
        <w:numPr>
          <w:ilvl w:val="0"/>
          <w:numId w:val="5"/>
        </w:numPr>
        <w:spacing w:after="90"/>
        <w:ind w:left="425" w:leftChars="0" w:hanging="425" w:firstLineChars="0"/>
        <w:rPr>
          <w:color w:val="auto"/>
        </w:rPr>
      </w:pPr>
      <w:r>
        <w:rPr>
          <w:color w:val="auto"/>
          <w:sz w:val="22"/>
          <w:szCs w:val="22"/>
        </w:rPr>
        <w:t>More sustainable food distribution with reduced waste and optimized logistics.</w:t>
      </w:r>
    </w:p>
    <w:p w14:paraId="480B6A27">
      <w:pPr>
        <w:pStyle w:val="2"/>
        <w:spacing w:before="400" w:after="200"/>
        <w:rPr>
          <w:color w:val="auto"/>
        </w:rPr>
      </w:pPr>
      <w:r>
        <w:rPr>
          <w:b/>
          <w:bCs/>
          <w:color w:val="auto"/>
          <w:sz w:val="30"/>
          <w:szCs w:val="30"/>
        </w:rPr>
        <w:t>14. Advantages, Applications, and Future Scope</w:t>
      </w:r>
    </w:p>
    <w:p w14:paraId="0B2602AA">
      <w:pPr>
        <w:pStyle w:val="3"/>
        <w:spacing w:before="280" w:after="140"/>
        <w:rPr>
          <w:color w:val="auto"/>
        </w:rPr>
      </w:pPr>
      <w:r>
        <w:rPr>
          <w:b/>
          <w:bCs/>
          <w:color w:val="auto"/>
          <w:sz w:val="25"/>
          <w:szCs w:val="25"/>
        </w:rPr>
        <w:t>14.1 Advantages</w:t>
      </w:r>
    </w:p>
    <w:p w14:paraId="022D608A">
      <w:pPr>
        <w:pStyle w:val="16"/>
        <w:numPr>
          <w:ilvl w:val="0"/>
          <w:numId w:val="1"/>
        </w:numPr>
        <w:spacing w:after="90"/>
        <w:rPr>
          <w:color w:val="auto"/>
        </w:rPr>
      </w:pPr>
      <w:r>
        <w:rPr>
          <w:color w:val="auto"/>
          <w:sz w:val="22"/>
          <w:szCs w:val="22"/>
        </w:rPr>
        <w:t>Real-time, continuous visibility instead of periodic manual checks.</w:t>
      </w:r>
    </w:p>
    <w:p w14:paraId="630FC737">
      <w:pPr>
        <w:pStyle w:val="16"/>
        <w:numPr>
          <w:ilvl w:val="0"/>
          <w:numId w:val="1"/>
        </w:numPr>
        <w:spacing w:after="90"/>
        <w:rPr>
          <w:color w:val="auto"/>
        </w:rPr>
      </w:pPr>
      <w:r>
        <w:rPr>
          <w:color w:val="auto"/>
          <w:sz w:val="22"/>
          <w:szCs w:val="22"/>
        </w:rPr>
        <w:t>Predictive rather than reactive spoilage management.</w:t>
      </w:r>
    </w:p>
    <w:p w14:paraId="06F88F65">
      <w:pPr>
        <w:pStyle w:val="16"/>
        <w:numPr>
          <w:ilvl w:val="0"/>
          <w:numId w:val="1"/>
        </w:numPr>
        <w:spacing w:after="90"/>
        <w:rPr>
          <w:color w:val="auto"/>
        </w:rPr>
      </w:pPr>
      <w:r>
        <w:rPr>
          <w:color w:val="auto"/>
          <w:sz w:val="22"/>
          <w:szCs w:val="22"/>
        </w:rPr>
        <w:t>Tamper-proof records that build trust among all stakeholders.</w:t>
      </w:r>
    </w:p>
    <w:p w14:paraId="321B3D2D">
      <w:pPr>
        <w:pStyle w:val="16"/>
        <w:numPr>
          <w:ilvl w:val="0"/>
          <w:numId w:val="1"/>
        </w:numPr>
        <w:spacing w:after="90"/>
        <w:rPr>
          <w:color w:val="auto"/>
        </w:rPr>
      </w:pPr>
      <w:r>
        <w:rPr>
          <w:color w:val="auto"/>
          <w:sz w:val="22"/>
          <w:szCs w:val="22"/>
        </w:rPr>
        <w:t>Faster, targeted recalls that reduce cost and health risk.</w:t>
      </w:r>
    </w:p>
    <w:p w14:paraId="315A8CB7">
      <w:pPr>
        <w:pStyle w:val="16"/>
        <w:numPr>
          <w:ilvl w:val="0"/>
          <w:numId w:val="1"/>
        </w:numPr>
        <w:spacing w:after="90"/>
        <w:rPr>
          <w:color w:val="auto"/>
        </w:rPr>
      </w:pPr>
      <w:r>
        <w:rPr>
          <w:color w:val="auto"/>
          <w:sz w:val="22"/>
          <w:szCs w:val="22"/>
        </w:rPr>
        <w:t>Automated compliance reduces manual administrative burden.</w:t>
      </w:r>
    </w:p>
    <w:p w14:paraId="2B086F7B">
      <w:pPr>
        <w:pStyle w:val="3"/>
        <w:spacing w:before="280" w:after="140"/>
        <w:rPr>
          <w:color w:val="auto"/>
        </w:rPr>
      </w:pPr>
      <w:r>
        <w:rPr>
          <w:b/>
          <w:bCs/>
          <w:color w:val="auto"/>
          <w:sz w:val="25"/>
          <w:szCs w:val="25"/>
        </w:rPr>
        <w:t>14.2 Applications</w:t>
      </w:r>
    </w:p>
    <w:p w14:paraId="6A9E86B4">
      <w:pPr>
        <w:pStyle w:val="16"/>
        <w:numPr>
          <w:ilvl w:val="0"/>
          <w:numId w:val="1"/>
        </w:numPr>
        <w:spacing w:after="90"/>
        <w:rPr>
          <w:color w:val="auto"/>
        </w:rPr>
      </w:pPr>
      <w:r>
        <w:rPr>
          <w:color w:val="auto"/>
          <w:sz w:val="22"/>
          <w:szCs w:val="22"/>
        </w:rPr>
        <w:t>Fresh produce and perishable goods supply chains.</w:t>
      </w:r>
    </w:p>
    <w:p w14:paraId="14820F34">
      <w:pPr>
        <w:pStyle w:val="16"/>
        <w:numPr>
          <w:ilvl w:val="0"/>
          <w:numId w:val="1"/>
        </w:numPr>
        <w:spacing w:after="90"/>
        <w:rPr>
          <w:color w:val="auto"/>
        </w:rPr>
      </w:pPr>
      <w:r>
        <w:rPr>
          <w:color w:val="auto"/>
          <w:sz w:val="22"/>
          <w:szCs w:val="22"/>
        </w:rPr>
        <w:t>Dairy, meat, and seafood cold-chain logistics.</w:t>
      </w:r>
    </w:p>
    <w:p w14:paraId="00C1AB3A">
      <w:pPr>
        <w:pStyle w:val="16"/>
        <w:numPr>
          <w:ilvl w:val="0"/>
          <w:numId w:val="1"/>
        </w:numPr>
        <w:spacing w:after="90"/>
        <w:rPr>
          <w:color w:val="auto"/>
        </w:rPr>
      </w:pPr>
      <w:r>
        <w:rPr>
          <w:color w:val="auto"/>
          <w:sz w:val="22"/>
          <w:szCs w:val="22"/>
        </w:rPr>
        <w:t>Pharmaceutical cold-chain monitoring (temperature-sensitive medicines).</w:t>
      </w:r>
    </w:p>
    <w:p w14:paraId="5880E7DE">
      <w:pPr>
        <w:pStyle w:val="16"/>
        <w:numPr>
          <w:ilvl w:val="0"/>
          <w:numId w:val="1"/>
        </w:numPr>
        <w:spacing w:after="90"/>
        <w:rPr>
          <w:color w:val="auto"/>
        </w:rPr>
      </w:pPr>
      <w:r>
        <w:rPr>
          <w:color w:val="auto"/>
          <w:sz w:val="22"/>
          <w:szCs w:val="22"/>
        </w:rPr>
        <w:t>Organic and premium food certification verification.</w:t>
      </w:r>
    </w:p>
    <w:p w14:paraId="535E382A">
      <w:pPr>
        <w:pStyle w:val="16"/>
        <w:numPr>
          <w:ilvl w:val="0"/>
          <w:numId w:val="1"/>
        </w:numPr>
        <w:spacing w:after="90"/>
        <w:rPr>
          <w:color w:val="auto"/>
        </w:rPr>
      </w:pPr>
      <w:r>
        <w:rPr>
          <w:color w:val="auto"/>
          <w:sz w:val="22"/>
          <w:szCs w:val="22"/>
        </w:rPr>
        <w:t>Retail and e-commerce grocery supply chains.</w:t>
      </w:r>
    </w:p>
    <w:p w14:paraId="758BDDC2">
      <w:pPr>
        <w:pStyle w:val="3"/>
        <w:spacing w:before="280" w:after="140"/>
        <w:rPr>
          <w:color w:val="auto"/>
        </w:rPr>
      </w:pPr>
      <w:r>
        <w:rPr>
          <w:b/>
          <w:bCs/>
          <w:color w:val="auto"/>
          <w:sz w:val="25"/>
          <w:szCs w:val="25"/>
        </w:rPr>
        <w:t>14.3 Limitations</w:t>
      </w:r>
    </w:p>
    <w:p w14:paraId="2FDE4F19">
      <w:pPr>
        <w:pStyle w:val="16"/>
        <w:numPr>
          <w:ilvl w:val="0"/>
          <w:numId w:val="1"/>
        </w:numPr>
        <w:spacing w:after="90"/>
        <w:rPr>
          <w:color w:val="auto"/>
        </w:rPr>
      </w:pPr>
      <w:r>
        <w:rPr>
          <w:color w:val="auto"/>
          <w:sz w:val="22"/>
          <w:szCs w:val="22"/>
        </w:rPr>
        <w:t>Initial hardware and blockchain infrastructure investment can be significant.</w:t>
      </w:r>
    </w:p>
    <w:p w14:paraId="21B40FB8">
      <w:pPr>
        <w:pStyle w:val="16"/>
        <w:numPr>
          <w:ilvl w:val="0"/>
          <w:numId w:val="1"/>
        </w:numPr>
        <w:spacing w:after="90"/>
        <w:rPr>
          <w:color w:val="auto"/>
        </w:rPr>
      </w:pPr>
      <w:r>
        <w:rPr>
          <w:color w:val="auto"/>
          <w:sz w:val="22"/>
          <w:szCs w:val="22"/>
        </w:rPr>
        <w:t>Requires reliable connectivity in remote farming/rural areas.</w:t>
      </w:r>
    </w:p>
    <w:p w14:paraId="1D061112">
      <w:pPr>
        <w:pStyle w:val="16"/>
        <w:numPr>
          <w:ilvl w:val="0"/>
          <w:numId w:val="1"/>
        </w:numPr>
        <w:spacing w:after="90"/>
        <w:rPr>
          <w:color w:val="auto"/>
        </w:rPr>
      </w:pPr>
      <w:r>
        <w:rPr>
          <w:color w:val="auto"/>
          <w:sz w:val="22"/>
          <w:szCs w:val="22"/>
        </w:rPr>
        <w:t>AI model accuracy depends on the availability of quality training data.</w:t>
      </w:r>
    </w:p>
    <w:p w14:paraId="75AA197F">
      <w:pPr>
        <w:pStyle w:val="3"/>
        <w:spacing w:before="280" w:after="140"/>
        <w:rPr>
          <w:color w:val="auto"/>
        </w:rPr>
      </w:pPr>
      <w:r>
        <w:rPr>
          <w:b/>
          <w:bCs/>
          <w:color w:val="auto"/>
          <w:sz w:val="25"/>
          <w:szCs w:val="25"/>
        </w:rPr>
        <w:t>14.4 Future Scope</w:t>
      </w:r>
    </w:p>
    <w:p w14:paraId="03F4CE25">
      <w:pPr>
        <w:pStyle w:val="16"/>
        <w:numPr>
          <w:ilvl w:val="0"/>
          <w:numId w:val="1"/>
        </w:numPr>
        <w:spacing w:after="90"/>
        <w:rPr>
          <w:color w:val="auto"/>
        </w:rPr>
      </w:pPr>
      <w:r>
        <w:rPr>
          <w:color w:val="auto"/>
          <w:sz w:val="22"/>
          <w:szCs w:val="22"/>
        </w:rPr>
        <w:t>Integration of computer-vision-based freshness grading using product images.</w:t>
      </w:r>
      <w:bookmarkStart w:id="0" w:name="_GoBack"/>
      <w:bookmarkEnd w:id="0"/>
    </w:p>
    <w:p w14:paraId="53174297">
      <w:pPr>
        <w:pStyle w:val="16"/>
        <w:numPr>
          <w:ilvl w:val="0"/>
          <w:numId w:val="1"/>
        </w:numPr>
        <w:spacing w:after="90"/>
        <w:rPr>
          <w:color w:val="auto"/>
        </w:rPr>
      </w:pPr>
      <w:r>
        <w:rPr>
          <w:color w:val="auto"/>
          <w:sz w:val="22"/>
          <w:szCs w:val="22"/>
        </w:rPr>
        <w:t>Expansion to a fully decentralized, multi-organization blockchain consortium.</w:t>
      </w:r>
    </w:p>
    <w:p w14:paraId="6F9899E7">
      <w:pPr>
        <w:pStyle w:val="16"/>
        <w:numPr>
          <w:ilvl w:val="0"/>
          <w:numId w:val="1"/>
        </w:numPr>
        <w:spacing w:after="90"/>
        <w:rPr>
          <w:color w:val="auto"/>
        </w:rPr>
      </w:pPr>
      <w:r>
        <w:rPr>
          <w:color w:val="auto"/>
          <w:sz w:val="22"/>
          <w:szCs w:val="22"/>
        </w:rPr>
        <w:t>Predictive route optimization to minimize transport-related spoilage.</w:t>
      </w:r>
    </w:p>
    <w:p w14:paraId="029E66B1">
      <w:pPr>
        <w:pStyle w:val="16"/>
        <w:numPr>
          <w:ilvl w:val="0"/>
          <w:numId w:val="1"/>
        </w:numPr>
        <w:spacing w:after="90"/>
        <w:rPr>
          <w:color w:val="auto"/>
        </w:rPr>
      </w:pPr>
      <w:r>
        <w:rPr>
          <w:color w:val="auto"/>
          <w:sz w:val="22"/>
          <w:szCs w:val="22"/>
        </w:rPr>
        <w:t>Integration with national food-safety regulatory databases for automated submission.</w:t>
      </w:r>
    </w:p>
    <w:p w14:paraId="1F1C1A6F">
      <w:pPr>
        <w:pStyle w:val="16"/>
        <w:numPr>
          <w:numId w:val="0"/>
        </w:numPr>
        <w:spacing w:after="90"/>
        <w:ind w:left="260" w:leftChars="0"/>
        <w:jc w:val="center"/>
        <w:rPr>
          <w:rFonts w:hint="default"/>
          <w:color w:val="auto"/>
          <w:lang w:val="en-US"/>
        </w:rPr>
      </w:pPr>
      <w:r>
        <w:rPr>
          <w:rFonts w:ascii="SimSun" w:hAnsi="SimSun" w:eastAsia="SimSun" w:cs="SimSun"/>
          <w:sz w:val="24"/>
          <w:szCs w:val="24"/>
        </w:rPr>
        <w:drawing>
          <wp:inline distT="0" distB="0" distL="114300" distR="114300">
            <wp:extent cx="2619375" cy="1743075"/>
            <wp:effectExtent l="0" t="0" r="1905" b="952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9"/>
                    <a:stretch>
                      <a:fillRect/>
                    </a:stretch>
                  </pic:blipFill>
                  <pic:spPr>
                    <a:xfrm>
                      <a:off x="0" y="0"/>
                      <a:ext cx="2619375" cy="1743075"/>
                    </a:xfrm>
                    <a:prstGeom prst="rect">
                      <a:avLst/>
                    </a:prstGeom>
                    <a:noFill/>
                    <a:ln w="9525">
                      <a:noFill/>
                    </a:ln>
                  </pic:spPr>
                </pic:pic>
              </a:graphicData>
            </a:graphic>
          </wp:inline>
        </w:drawing>
      </w:r>
    </w:p>
    <w:p w14:paraId="11DEC5F0">
      <w:pPr>
        <w:pStyle w:val="2"/>
        <w:spacing w:before="400" w:after="200"/>
        <w:rPr>
          <w:color w:val="auto"/>
        </w:rPr>
      </w:pPr>
      <w:r>
        <w:rPr>
          <w:b/>
          <w:bCs/>
          <w:color w:val="auto"/>
          <w:sz w:val="30"/>
          <w:szCs w:val="30"/>
        </w:rPr>
        <w:t>14.5 Risk and Mitigation Matrix</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1"/>
        <w:gridCol w:w="3349"/>
        <w:gridCol w:w="3000"/>
      </w:tblGrid>
      <w:tr w14:paraId="37E5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D7D7D7" w:themeFill="background1" w:themeFillShade="D8"/>
            <w:tcMar>
              <w:top w:w="100" w:type="dxa"/>
              <w:left w:w="120" w:type="dxa"/>
              <w:bottom w:w="100" w:type="dxa"/>
              <w:right w:w="120" w:type="dxa"/>
            </w:tcMar>
            <w:vAlign w:val="center"/>
          </w:tcPr>
          <w:p w14:paraId="13750474">
            <w:pPr>
              <w:jc w:val="left"/>
              <w:rPr>
                <w:color w:val="auto"/>
              </w:rPr>
            </w:pPr>
            <w:r>
              <w:rPr>
                <w:b/>
                <w:bCs/>
                <w:color w:val="auto"/>
                <w:sz w:val="20"/>
                <w:szCs w:val="20"/>
              </w:rPr>
              <w:t>Risk</w:t>
            </w:r>
          </w:p>
        </w:tc>
        <w:tc>
          <w:tcPr>
            <w:tcW w:w="3349" w:type="dxa"/>
            <w:shd w:val="clear" w:color="auto" w:fill="D7D7D7" w:themeFill="background1" w:themeFillShade="D8"/>
            <w:tcMar>
              <w:top w:w="100" w:type="dxa"/>
              <w:left w:w="120" w:type="dxa"/>
              <w:bottom w:w="100" w:type="dxa"/>
              <w:right w:w="120" w:type="dxa"/>
            </w:tcMar>
            <w:vAlign w:val="center"/>
          </w:tcPr>
          <w:p w14:paraId="32E8C214">
            <w:pPr>
              <w:jc w:val="left"/>
              <w:rPr>
                <w:color w:val="auto"/>
              </w:rPr>
            </w:pPr>
            <w:r>
              <w:rPr>
                <w:b/>
                <w:bCs/>
                <w:color w:val="auto"/>
                <w:sz w:val="20"/>
                <w:szCs w:val="20"/>
              </w:rPr>
              <w:t>Impact</w:t>
            </w:r>
          </w:p>
        </w:tc>
        <w:tc>
          <w:tcPr>
            <w:tcW w:w="3000" w:type="dxa"/>
            <w:shd w:val="clear" w:color="auto" w:fill="D7D7D7" w:themeFill="background1" w:themeFillShade="D8"/>
            <w:tcMar>
              <w:top w:w="100" w:type="dxa"/>
              <w:left w:w="120" w:type="dxa"/>
              <w:bottom w:w="100" w:type="dxa"/>
              <w:right w:w="120" w:type="dxa"/>
            </w:tcMar>
            <w:vAlign w:val="center"/>
          </w:tcPr>
          <w:p w14:paraId="318859B4">
            <w:pPr>
              <w:jc w:val="left"/>
              <w:rPr>
                <w:color w:val="auto"/>
              </w:rPr>
            </w:pPr>
            <w:r>
              <w:rPr>
                <w:b/>
                <w:bCs/>
                <w:color w:val="auto"/>
                <w:sz w:val="20"/>
                <w:szCs w:val="20"/>
              </w:rPr>
              <w:t>Mitigation</w:t>
            </w:r>
          </w:p>
        </w:tc>
      </w:tr>
      <w:tr w14:paraId="5793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F1F1F1" w:themeFill="background1" w:themeFillShade="F2"/>
            <w:tcMar>
              <w:top w:w="100" w:type="dxa"/>
              <w:left w:w="120" w:type="dxa"/>
              <w:bottom w:w="100" w:type="dxa"/>
              <w:right w:w="120" w:type="dxa"/>
            </w:tcMar>
            <w:vAlign w:val="center"/>
          </w:tcPr>
          <w:p w14:paraId="49B92EE6">
            <w:pPr>
              <w:jc w:val="left"/>
              <w:rPr>
                <w:color w:val="auto"/>
              </w:rPr>
            </w:pPr>
            <w:r>
              <w:rPr>
                <w:b w:val="0"/>
                <w:bCs w:val="0"/>
                <w:color w:val="auto"/>
                <w:sz w:val="20"/>
                <w:szCs w:val="20"/>
              </w:rPr>
              <w:t>Sensor/connectivity failure</w:t>
            </w:r>
          </w:p>
        </w:tc>
        <w:tc>
          <w:tcPr>
            <w:tcW w:w="3349" w:type="dxa"/>
            <w:shd w:val="clear" w:color="auto" w:fill="F1F1F1" w:themeFill="background1" w:themeFillShade="F2"/>
            <w:tcMar>
              <w:top w:w="100" w:type="dxa"/>
              <w:left w:w="120" w:type="dxa"/>
              <w:bottom w:w="100" w:type="dxa"/>
              <w:right w:w="120" w:type="dxa"/>
            </w:tcMar>
            <w:vAlign w:val="center"/>
          </w:tcPr>
          <w:p w14:paraId="66FE16F7">
            <w:pPr>
              <w:jc w:val="left"/>
              <w:rPr>
                <w:color w:val="auto"/>
              </w:rPr>
            </w:pPr>
            <w:r>
              <w:rPr>
                <w:b w:val="0"/>
                <w:bCs w:val="0"/>
                <w:color w:val="auto"/>
                <w:sz w:val="20"/>
                <w:szCs w:val="20"/>
              </w:rPr>
              <w:t>Loss of monitoring during transit</w:t>
            </w:r>
          </w:p>
        </w:tc>
        <w:tc>
          <w:tcPr>
            <w:tcW w:w="3000" w:type="dxa"/>
            <w:shd w:val="clear" w:color="auto" w:fill="F1F1F1" w:themeFill="background1" w:themeFillShade="F2"/>
            <w:tcMar>
              <w:top w:w="100" w:type="dxa"/>
              <w:left w:w="120" w:type="dxa"/>
              <w:bottom w:w="100" w:type="dxa"/>
              <w:right w:w="120" w:type="dxa"/>
            </w:tcMar>
            <w:vAlign w:val="center"/>
          </w:tcPr>
          <w:p w14:paraId="3A2EECCA">
            <w:pPr>
              <w:jc w:val="left"/>
              <w:rPr>
                <w:color w:val="auto"/>
              </w:rPr>
            </w:pPr>
            <w:r>
              <w:rPr>
                <w:b w:val="0"/>
                <w:bCs w:val="0"/>
                <w:color w:val="auto"/>
                <w:sz w:val="20"/>
                <w:szCs w:val="20"/>
              </w:rPr>
              <w:t>Redundant sensors, offline data buffering with sync-on-reconnect</w:t>
            </w:r>
          </w:p>
        </w:tc>
      </w:tr>
      <w:tr w14:paraId="4B5B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F1F1F1" w:themeFill="background1" w:themeFillShade="F2"/>
            <w:tcMar>
              <w:top w:w="100" w:type="dxa"/>
              <w:left w:w="120" w:type="dxa"/>
              <w:bottom w:w="100" w:type="dxa"/>
              <w:right w:w="120" w:type="dxa"/>
            </w:tcMar>
            <w:vAlign w:val="center"/>
          </w:tcPr>
          <w:p w14:paraId="07CC9414">
            <w:pPr>
              <w:jc w:val="left"/>
              <w:rPr>
                <w:color w:val="auto"/>
              </w:rPr>
            </w:pPr>
            <w:r>
              <w:rPr>
                <w:b w:val="0"/>
                <w:bCs w:val="0"/>
                <w:color w:val="auto"/>
                <w:sz w:val="20"/>
                <w:szCs w:val="20"/>
              </w:rPr>
              <w:t>Inaccurate AI predictions</w:t>
            </w:r>
          </w:p>
        </w:tc>
        <w:tc>
          <w:tcPr>
            <w:tcW w:w="3349" w:type="dxa"/>
            <w:shd w:val="clear" w:color="auto" w:fill="F1F1F1" w:themeFill="background1" w:themeFillShade="F2"/>
            <w:tcMar>
              <w:top w:w="100" w:type="dxa"/>
              <w:left w:w="120" w:type="dxa"/>
              <w:bottom w:w="100" w:type="dxa"/>
              <w:right w:w="120" w:type="dxa"/>
            </w:tcMar>
            <w:vAlign w:val="center"/>
          </w:tcPr>
          <w:p w14:paraId="6495675A">
            <w:pPr>
              <w:jc w:val="left"/>
              <w:rPr>
                <w:color w:val="auto"/>
              </w:rPr>
            </w:pPr>
            <w:r>
              <w:rPr>
                <w:b w:val="0"/>
                <w:bCs w:val="0"/>
                <w:color w:val="auto"/>
                <w:sz w:val="20"/>
                <w:szCs w:val="20"/>
              </w:rPr>
              <w:t>False alerts or missed spoilage</w:t>
            </w:r>
          </w:p>
        </w:tc>
        <w:tc>
          <w:tcPr>
            <w:tcW w:w="3000" w:type="dxa"/>
            <w:shd w:val="clear" w:color="auto" w:fill="F1F1F1" w:themeFill="background1" w:themeFillShade="F2"/>
            <w:tcMar>
              <w:top w:w="100" w:type="dxa"/>
              <w:left w:w="120" w:type="dxa"/>
              <w:bottom w:w="100" w:type="dxa"/>
              <w:right w:w="120" w:type="dxa"/>
            </w:tcMar>
            <w:vAlign w:val="center"/>
          </w:tcPr>
          <w:p w14:paraId="6BF6BF9E">
            <w:pPr>
              <w:jc w:val="left"/>
              <w:rPr>
                <w:color w:val="auto"/>
              </w:rPr>
            </w:pPr>
            <w:r>
              <w:rPr>
                <w:b w:val="0"/>
                <w:bCs w:val="0"/>
                <w:color w:val="auto"/>
                <w:sz w:val="20"/>
                <w:szCs w:val="20"/>
              </w:rPr>
              <w:t>Continuous model retraining with real-world outcome data</w:t>
            </w:r>
          </w:p>
        </w:tc>
      </w:tr>
      <w:tr w14:paraId="2A4D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F1F1F1" w:themeFill="background1" w:themeFillShade="F2"/>
            <w:tcMar>
              <w:top w:w="100" w:type="dxa"/>
              <w:left w:w="120" w:type="dxa"/>
              <w:bottom w:w="100" w:type="dxa"/>
              <w:right w:w="120" w:type="dxa"/>
            </w:tcMar>
            <w:vAlign w:val="center"/>
          </w:tcPr>
          <w:p w14:paraId="2898292B">
            <w:pPr>
              <w:jc w:val="left"/>
              <w:rPr>
                <w:color w:val="auto"/>
              </w:rPr>
            </w:pPr>
            <w:r>
              <w:rPr>
                <w:b w:val="0"/>
                <w:bCs w:val="0"/>
                <w:color w:val="auto"/>
                <w:sz w:val="20"/>
                <w:szCs w:val="20"/>
              </w:rPr>
              <w:t>Blockchain network downtime</w:t>
            </w:r>
          </w:p>
        </w:tc>
        <w:tc>
          <w:tcPr>
            <w:tcW w:w="3349" w:type="dxa"/>
            <w:shd w:val="clear" w:color="auto" w:fill="F1F1F1" w:themeFill="background1" w:themeFillShade="F2"/>
            <w:tcMar>
              <w:top w:w="100" w:type="dxa"/>
              <w:left w:w="120" w:type="dxa"/>
              <w:bottom w:w="100" w:type="dxa"/>
              <w:right w:w="120" w:type="dxa"/>
            </w:tcMar>
            <w:vAlign w:val="center"/>
          </w:tcPr>
          <w:p w14:paraId="1C2DDB04">
            <w:pPr>
              <w:jc w:val="left"/>
              <w:rPr>
                <w:color w:val="auto"/>
              </w:rPr>
            </w:pPr>
            <w:r>
              <w:rPr>
                <w:b w:val="0"/>
                <w:bCs w:val="0"/>
                <w:color w:val="auto"/>
                <w:sz w:val="20"/>
                <w:szCs w:val="20"/>
              </w:rPr>
              <w:t>Delayed record confirmation</w:t>
            </w:r>
          </w:p>
        </w:tc>
        <w:tc>
          <w:tcPr>
            <w:tcW w:w="3000" w:type="dxa"/>
            <w:shd w:val="clear" w:color="auto" w:fill="F1F1F1" w:themeFill="background1" w:themeFillShade="F2"/>
            <w:tcMar>
              <w:top w:w="100" w:type="dxa"/>
              <w:left w:w="120" w:type="dxa"/>
              <w:bottom w:w="100" w:type="dxa"/>
              <w:right w:w="120" w:type="dxa"/>
            </w:tcMar>
            <w:vAlign w:val="center"/>
          </w:tcPr>
          <w:p w14:paraId="156A0539">
            <w:pPr>
              <w:jc w:val="left"/>
              <w:rPr>
                <w:color w:val="auto"/>
              </w:rPr>
            </w:pPr>
            <w:r>
              <w:rPr>
                <w:b w:val="0"/>
                <w:bCs w:val="0"/>
                <w:color w:val="auto"/>
                <w:sz w:val="20"/>
                <w:szCs w:val="20"/>
              </w:rPr>
              <w:t>Multi-node consortium network with failover nodes</w:t>
            </w:r>
          </w:p>
        </w:tc>
      </w:tr>
      <w:tr w14:paraId="4709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F1F1F1" w:themeFill="background1" w:themeFillShade="F2"/>
            <w:tcMar>
              <w:top w:w="100" w:type="dxa"/>
              <w:left w:w="120" w:type="dxa"/>
              <w:bottom w:w="100" w:type="dxa"/>
              <w:right w:w="120" w:type="dxa"/>
            </w:tcMar>
            <w:vAlign w:val="center"/>
          </w:tcPr>
          <w:p w14:paraId="6E41C2E2">
            <w:pPr>
              <w:jc w:val="left"/>
              <w:rPr>
                <w:color w:val="auto"/>
              </w:rPr>
            </w:pPr>
            <w:r>
              <w:rPr>
                <w:b w:val="0"/>
                <w:bCs w:val="0"/>
                <w:color w:val="auto"/>
                <w:sz w:val="20"/>
                <w:szCs w:val="20"/>
              </w:rPr>
              <w:t>Stakeholder resistance to adoption</w:t>
            </w:r>
          </w:p>
        </w:tc>
        <w:tc>
          <w:tcPr>
            <w:tcW w:w="3349" w:type="dxa"/>
            <w:shd w:val="clear" w:color="auto" w:fill="F1F1F1" w:themeFill="background1" w:themeFillShade="F2"/>
            <w:tcMar>
              <w:top w:w="100" w:type="dxa"/>
              <w:left w:w="120" w:type="dxa"/>
              <w:bottom w:w="100" w:type="dxa"/>
              <w:right w:w="120" w:type="dxa"/>
            </w:tcMar>
            <w:vAlign w:val="center"/>
          </w:tcPr>
          <w:p w14:paraId="2C5E49B7">
            <w:pPr>
              <w:jc w:val="left"/>
              <w:rPr>
                <w:color w:val="auto"/>
              </w:rPr>
            </w:pPr>
            <w:r>
              <w:rPr>
                <w:b w:val="0"/>
                <w:bCs w:val="0"/>
                <w:color w:val="auto"/>
                <w:sz w:val="20"/>
                <w:szCs w:val="20"/>
              </w:rPr>
              <w:t>Incomplete supply-chain coverage</w:t>
            </w:r>
          </w:p>
        </w:tc>
        <w:tc>
          <w:tcPr>
            <w:tcW w:w="3000" w:type="dxa"/>
            <w:shd w:val="clear" w:color="auto" w:fill="F1F1F1" w:themeFill="background1" w:themeFillShade="F2"/>
            <w:tcMar>
              <w:top w:w="100" w:type="dxa"/>
              <w:left w:w="120" w:type="dxa"/>
              <w:bottom w:w="100" w:type="dxa"/>
              <w:right w:w="120" w:type="dxa"/>
            </w:tcMar>
            <w:vAlign w:val="center"/>
          </w:tcPr>
          <w:p w14:paraId="3898CCF9">
            <w:pPr>
              <w:jc w:val="left"/>
              <w:rPr>
                <w:color w:val="auto"/>
              </w:rPr>
            </w:pPr>
            <w:r>
              <w:rPr>
                <w:b w:val="0"/>
                <w:bCs w:val="0"/>
                <w:color w:val="auto"/>
                <w:sz w:val="20"/>
                <w:szCs w:val="20"/>
              </w:rPr>
              <w:t>Simple mobile UI, farmer training, incentive programs</w:t>
            </w:r>
          </w:p>
        </w:tc>
      </w:tr>
      <w:tr w14:paraId="4E5F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1" w:type="dxa"/>
            <w:shd w:val="clear" w:color="auto" w:fill="F1F1F1" w:themeFill="background1" w:themeFillShade="F2"/>
            <w:tcMar>
              <w:top w:w="100" w:type="dxa"/>
              <w:left w:w="120" w:type="dxa"/>
              <w:bottom w:w="100" w:type="dxa"/>
              <w:right w:w="120" w:type="dxa"/>
            </w:tcMar>
            <w:vAlign w:val="center"/>
          </w:tcPr>
          <w:p w14:paraId="55F544F5">
            <w:pPr>
              <w:jc w:val="left"/>
              <w:rPr>
                <w:color w:val="auto"/>
              </w:rPr>
            </w:pPr>
            <w:r>
              <w:rPr>
                <w:b w:val="0"/>
                <w:bCs w:val="0"/>
                <w:color w:val="auto"/>
                <w:sz w:val="20"/>
                <w:szCs w:val="20"/>
              </w:rPr>
              <w:t>Data privacy concerns</w:t>
            </w:r>
          </w:p>
        </w:tc>
        <w:tc>
          <w:tcPr>
            <w:tcW w:w="3349" w:type="dxa"/>
            <w:shd w:val="clear" w:color="auto" w:fill="F1F1F1" w:themeFill="background1" w:themeFillShade="F2"/>
            <w:tcMar>
              <w:top w:w="100" w:type="dxa"/>
              <w:left w:w="120" w:type="dxa"/>
              <w:bottom w:w="100" w:type="dxa"/>
              <w:right w:w="120" w:type="dxa"/>
            </w:tcMar>
            <w:vAlign w:val="center"/>
          </w:tcPr>
          <w:p w14:paraId="05A26E9C">
            <w:pPr>
              <w:jc w:val="left"/>
              <w:rPr>
                <w:color w:val="auto"/>
              </w:rPr>
            </w:pPr>
            <w:r>
              <w:rPr>
                <w:b w:val="0"/>
                <w:bCs w:val="0"/>
                <w:color w:val="auto"/>
                <w:sz w:val="20"/>
                <w:szCs w:val="20"/>
              </w:rPr>
              <w:t>Reluctance to share business data</w:t>
            </w:r>
          </w:p>
        </w:tc>
        <w:tc>
          <w:tcPr>
            <w:tcW w:w="3000" w:type="dxa"/>
            <w:shd w:val="clear" w:color="auto" w:fill="F1F1F1" w:themeFill="background1" w:themeFillShade="F2"/>
            <w:tcMar>
              <w:top w:w="100" w:type="dxa"/>
              <w:left w:w="120" w:type="dxa"/>
              <w:bottom w:w="100" w:type="dxa"/>
              <w:right w:w="120" w:type="dxa"/>
            </w:tcMar>
            <w:vAlign w:val="center"/>
          </w:tcPr>
          <w:p w14:paraId="73F3F17C">
            <w:pPr>
              <w:jc w:val="left"/>
              <w:rPr>
                <w:color w:val="auto"/>
              </w:rPr>
            </w:pPr>
            <w:r>
              <w:rPr>
                <w:b w:val="0"/>
                <w:bCs w:val="0"/>
                <w:color w:val="auto"/>
                <w:sz w:val="20"/>
                <w:szCs w:val="20"/>
              </w:rPr>
              <w:t>Role-based access control and permissioned data sharing</w:t>
            </w:r>
          </w:p>
        </w:tc>
      </w:tr>
    </w:tbl>
    <w:p w14:paraId="234B666B">
      <w:pPr>
        <w:pStyle w:val="2"/>
        <w:spacing w:before="400" w:after="200"/>
        <w:rPr>
          <w:color w:val="auto"/>
        </w:rPr>
      </w:pPr>
      <w:r>
        <w:rPr>
          <w:b/>
          <w:bCs/>
          <w:color w:val="auto"/>
          <w:sz w:val="30"/>
          <w:szCs w:val="30"/>
        </w:rPr>
        <w:t>15. Conclusion</w:t>
      </w:r>
    </w:p>
    <w:p w14:paraId="61E497EA">
      <w:pPr>
        <w:spacing w:after="160" w:line="300" w:lineRule="auto"/>
        <w:jc w:val="both"/>
        <w:rPr>
          <w:color w:val="auto"/>
        </w:rPr>
      </w:pPr>
      <w:r>
        <w:rPr>
          <w:color w:val="auto"/>
          <w:sz w:val="22"/>
          <w:szCs w:val="22"/>
        </w:rPr>
        <w:t>The AI-Based Smart Food Supply Chain Traceability and Quality Monitoring Platform addresses a pressing industry need: transforming fragmented, reactive food-safety practices into a connected, predictive, and transparent system. By combining IoT sensing, AI-driven spoilage prediction, blockchain-based provenance, and automated compliance reporting, the platform gives every stakeholder — from farmer to consumer — real-time, verifiable insight into food quality and origin.</w:t>
      </w:r>
    </w:p>
    <w:p w14:paraId="4BA3FE55">
      <w:pPr>
        <w:spacing w:after="160" w:line="300" w:lineRule="auto"/>
        <w:jc w:val="both"/>
        <w:rPr>
          <w:color w:val="auto"/>
        </w:rPr>
      </w:pPr>
      <w:r>
        <w:rPr>
          <w:color w:val="auto"/>
          <w:sz w:val="22"/>
          <w:szCs w:val="22"/>
        </w:rPr>
        <w:t>The result is a supply chain that not only reacts faster when problems occur, but actively prevents many of them, reducing waste, protecting public health, and strengthening consumer trust in the food system. This report has outlined the problem context, objectives, architecture, technology stack, module design, AI methodology, and expected outcomes that together form the foundation for building and deploying this platform.</w:t>
      </w:r>
    </w:p>
    <w:p w14:paraId="24283B2D">
      <w:pPr>
        <w:rPr>
          <w:color w:val="auto"/>
        </w:rPr>
      </w:pPr>
      <w:r>
        <w:rPr>
          <w:color w:val="auto"/>
        </w:rPr>
        <w:br w:type="page"/>
      </w:r>
    </w:p>
    <w:p w14:paraId="75F56075">
      <w:pPr>
        <w:pStyle w:val="2"/>
        <w:spacing w:before="400" w:after="200"/>
        <w:rPr>
          <w:color w:val="auto"/>
        </w:rPr>
      </w:pPr>
      <w:r>
        <w:rPr>
          <w:b/>
          <w:bCs/>
          <w:color w:val="auto"/>
          <w:sz w:val="30"/>
          <w:szCs w:val="30"/>
        </w:rPr>
        <w:t>References</w:t>
      </w:r>
    </w:p>
    <w:p w14:paraId="0A5B0FAD">
      <w:pPr>
        <w:pStyle w:val="16"/>
        <w:numPr>
          <w:ilvl w:val="0"/>
          <w:numId w:val="2"/>
        </w:numPr>
        <w:spacing w:after="90"/>
        <w:rPr>
          <w:color w:val="auto"/>
        </w:rPr>
      </w:pPr>
      <w:r>
        <w:rPr>
          <w:color w:val="auto"/>
          <w:sz w:val="22"/>
          <w:szCs w:val="22"/>
        </w:rPr>
        <w:t>Food and Agriculture Organization (FAO) — Reports on global food loss and waste.</w:t>
      </w:r>
    </w:p>
    <w:p w14:paraId="69CA7D09">
      <w:pPr>
        <w:pStyle w:val="16"/>
        <w:numPr>
          <w:ilvl w:val="0"/>
          <w:numId w:val="2"/>
        </w:numPr>
        <w:spacing w:after="90"/>
        <w:rPr>
          <w:color w:val="auto"/>
        </w:rPr>
      </w:pPr>
      <w:r>
        <w:rPr>
          <w:color w:val="auto"/>
          <w:sz w:val="22"/>
          <w:szCs w:val="22"/>
        </w:rPr>
        <w:t>IBM Food Trust — Blockchain-based food traceability initiative documentation.</w:t>
      </w:r>
    </w:p>
    <w:p w14:paraId="49CF3710">
      <w:pPr>
        <w:pStyle w:val="16"/>
        <w:numPr>
          <w:ilvl w:val="0"/>
          <w:numId w:val="2"/>
        </w:numPr>
        <w:spacing w:after="90"/>
        <w:rPr>
          <w:color w:val="auto"/>
        </w:rPr>
      </w:pPr>
      <w:r>
        <w:rPr>
          <w:color w:val="auto"/>
          <w:sz w:val="22"/>
          <w:szCs w:val="22"/>
        </w:rPr>
        <w:t>IEEE research papers on IoT-based cold-chain monitoring systems.</w:t>
      </w:r>
    </w:p>
    <w:p w14:paraId="71AEE9B9">
      <w:pPr>
        <w:pStyle w:val="16"/>
        <w:numPr>
          <w:ilvl w:val="0"/>
          <w:numId w:val="2"/>
        </w:numPr>
        <w:spacing w:after="90"/>
        <w:rPr>
          <w:color w:val="auto"/>
        </w:rPr>
      </w:pPr>
      <w:r>
        <w:rPr>
          <w:color w:val="auto"/>
          <w:sz w:val="22"/>
          <w:szCs w:val="22"/>
        </w:rPr>
        <w:t>Scikit-learn, TensorFlow, and PyTorch official documentation for machine learning implementation.</w:t>
      </w:r>
    </w:p>
    <w:p w14:paraId="604F4BC4">
      <w:pPr>
        <w:pStyle w:val="16"/>
        <w:numPr>
          <w:ilvl w:val="0"/>
          <w:numId w:val="2"/>
        </w:numPr>
        <w:spacing w:after="90"/>
        <w:rPr>
          <w:color w:val="auto"/>
        </w:rPr>
      </w:pPr>
      <w:r>
        <w:rPr>
          <w:color w:val="auto"/>
          <w:sz w:val="22"/>
          <w:szCs w:val="22"/>
        </w:rPr>
        <w:t>Hyperledger Fabric documentation for permissioned blockchain networks.</w:t>
      </w:r>
    </w:p>
    <w:p w14:paraId="3AF922B4">
      <w:pPr>
        <w:pStyle w:val="16"/>
        <w:numPr>
          <w:ilvl w:val="0"/>
          <w:numId w:val="2"/>
        </w:numPr>
        <w:spacing w:after="90"/>
        <w:rPr>
          <w:color w:val="auto"/>
        </w:rPr>
      </w:pPr>
      <w:r>
        <w:rPr>
          <w:color w:val="auto"/>
          <w:sz w:val="22"/>
          <w:szCs w:val="22"/>
        </w:rPr>
        <w:t>FSSAI / FDA FSMA regulatory guidelines on food-safety compliance.</w:t>
      </w:r>
    </w:p>
    <w:p w14:paraId="760BA7D0">
      <w:pPr>
        <w:pStyle w:val="16"/>
        <w:numPr>
          <w:ilvl w:val="0"/>
          <w:numId w:val="2"/>
        </w:numPr>
        <w:spacing w:after="90"/>
        <w:rPr>
          <w:color w:val="auto"/>
        </w:rPr>
      </w:pPr>
      <w:r>
        <w:rPr>
          <w:color w:val="auto"/>
          <w:sz w:val="22"/>
          <w:szCs w:val="22"/>
        </w:rPr>
        <w:t>Research articles on machine-learning-based shelf-life and spoilage prediction.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4985D">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60FDD">
    <w:pPr>
      <w:jc w:val="right"/>
    </w:pPr>
    <w:r>
      <w:rPr>
        <w:color w:val="595959"/>
        <w:sz w:val="16"/>
        <w:szCs w:val="16"/>
      </w:rPr>
      <w:t>AI-Based Smart Food Supply Chain Traceability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76A13"/>
    <w:multiLevelType w:val="singleLevel"/>
    <w:tmpl w:val="87A76A13"/>
    <w:lvl w:ilvl="0" w:tentative="0">
      <w:start w:val="1"/>
      <w:numFmt w:val="decimal"/>
      <w:lvlText w:val="%1."/>
      <w:lvlJc w:val="left"/>
      <w:pPr>
        <w:tabs>
          <w:tab w:val="left" w:pos="425"/>
        </w:tabs>
        <w:ind w:left="425" w:leftChars="0" w:hanging="425" w:firstLineChars="0"/>
      </w:pPr>
      <w:rPr>
        <w:rFonts w:hint="default"/>
      </w:rPr>
    </w:lvl>
  </w:abstractNum>
  <w:abstractNum w:abstractNumId="1">
    <w:nsid w:val="AF80B715"/>
    <w:multiLevelType w:val="singleLevel"/>
    <w:tmpl w:val="AF80B715"/>
    <w:lvl w:ilvl="0" w:tentative="0">
      <w:start w:val="1"/>
      <w:numFmt w:val="decimal"/>
      <w:lvlText w:val="%1."/>
      <w:lvlJc w:val="left"/>
      <w:pPr>
        <w:tabs>
          <w:tab w:val="left" w:pos="425"/>
        </w:tabs>
        <w:ind w:left="425" w:leftChars="0" w:hanging="425" w:firstLineChars="0"/>
      </w:pPr>
      <w:rPr>
        <w:rFonts w:hint="default"/>
      </w:rPr>
    </w:lvl>
  </w:abstractNum>
  <w:abstractNum w:abstractNumId="2">
    <w:nsid w:val="C5CAC682"/>
    <w:multiLevelType w:val="multilevel"/>
    <w:tmpl w:val="C5CAC682"/>
    <w:lvl w:ilvl="0" w:tentative="0">
      <w:start w:val="1"/>
      <w:numFmt w:val="bullet"/>
      <w:lvlText w:val="•"/>
      <w:lvlJc w:val="left"/>
      <w:pPr>
        <w:ind w:left="520" w:hanging="260"/>
      </w:pPr>
    </w:lvl>
    <w:lvl w:ilvl="1" w:tentative="0">
      <w:start w:val="1"/>
      <w:numFmt w:val="bullet"/>
      <w:lvlText w:val="–"/>
      <w:lvlJc w:val="left"/>
      <w:pPr>
        <w:ind w:left="900" w:hanging="260"/>
      </w:pPr>
    </w:lvl>
  </w:abstractNum>
  <w:abstractNum w:abstractNumId="3">
    <w:nsid w:val="08C52D21"/>
    <w:multiLevelType w:val="singleLevel"/>
    <w:tmpl w:val="08C52D21"/>
    <w:lvl w:ilvl="0" w:tentative="0">
      <w:start w:val="1"/>
      <w:numFmt w:val="decimal"/>
      <w:lvlText w:val="%1."/>
      <w:lvlJc w:val="left"/>
      <w:pPr>
        <w:ind w:left="520" w:hanging="320"/>
      </w:pPr>
    </w:lvl>
  </w:abstractNum>
  <w:abstractNum w:abstractNumId="4">
    <w:nsid w:val="5CF45DFD"/>
    <w:multiLevelType w:val="singleLevel"/>
    <w:tmpl w:val="5CF45DFD"/>
    <w:lvl w:ilvl="0" w:tentative="0">
      <w:start w:val="1"/>
      <w:numFmt w:val="decimal"/>
      <w:lvlText w:val="%1)"/>
      <w:lvlJc w:val="left"/>
      <w:pPr>
        <w:tabs>
          <w:tab w:val="left" w:pos="425"/>
        </w:tabs>
        <w:ind w:left="425" w:leftChars="0" w:hanging="425" w:firstLineChars="0"/>
      </w:pPr>
      <w:rPr>
        <w:rFonts w:hint="default"/>
      </w:rPr>
    </w:lvl>
  </w:abstractNum>
  <w:num w:numId="1">
    <w:abstractNumId w:val="2"/>
    <w:lvlOverride w:ilvl="0">
      <w:startOverride w:val="1"/>
    </w:lvlOverride>
  </w:num>
  <w:num w:numId="2">
    <w:abstractNumId w:val="3"/>
    <w:lvlOverride w:ilvl="0">
      <w:startOverride w:val="1"/>
    </w:lvlOverride>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D850D4"/>
    <w:rsid w:val="08262A99"/>
    <w:rsid w:val="373D24BC"/>
    <w:rsid w:val="495E10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10</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2026-07-21T02:59:00Z</dcterms:created>
  <dc:creator>Un-named</dc:creator>
  <cp:lastModifiedBy>K.Balaji 9-D</cp:lastModifiedBy>
  <dcterms:modified xsi:type="dcterms:W3CDTF">2026-07-21T03:44:32Z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2102668C57524DD98C00A9312CF3F5F2_13</vt:lpwstr>
  </property>
</Properties>
</file>