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501CD">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26"/>
          <w:szCs w:val="26"/>
          <w:u w:val="none"/>
          <w:vertAlign w:val="baseline"/>
        </w:rPr>
        <w:t>SIMATS ENGINEERING (SAVEETHA SCHOOL OF ENGINEERING)</w:t>
      </w:r>
    </w:p>
    <w:p w14:paraId="156E35DE">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2E75B6"/>
          <w:sz w:val="22"/>
          <w:szCs w:val="22"/>
          <w:u w:val="none"/>
          <w:vertAlign w:val="baseline"/>
        </w:rPr>
        <w:t>Department of Computer Science and Engineering</w:t>
      </w:r>
    </w:p>
    <w:p w14:paraId="0E79C252">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C00000"/>
          <w:sz w:val="24"/>
          <w:szCs w:val="24"/>
          <w:u w:val="none"/>
          <w:vertAlign w:val="baseline"/>
        </w:rPr>
        <w:t xml:space="preserve">CO5 ASSESSMENT TOOL 1 –  </w:t>
      </w:r>
      <w:r>
        <w:rPr>
          <w:rFonts w:hint="default" w:ascii="Times New Roman" w:hAnsi="Times New Roman" w:cs="Times New Roman"/>
          <w:b/>
          <w:bCs/>
          <w:i w:val="0"/>
          <w:iCs w:val="0"/>
          <w:color w:val="C00000"/>
          <w:sz w:val="28"/>
          <w:szCs w:val="28"/>
          <w:u w:val="none"/>
          <w:vertAlign w:val="baseline"/>
        </w:rPr>
        <w:t>Research Paper Review / Literature Survey</w:t>
      </w:r>
    </w:p>
    <w:p w14:paraId="40F79B45">
      <w:pPr>
        <w:pStyle w:val="33"/>
        <w:keepNext w:val="0"/>
        <w:keepLines w:val="0"/>
        <w:widowControl/>
        <w:suppressLineNumbers w:val="0"/>
        <w:pBdr>
          <w:bottom w:val="single" w:color="1F4E79" w:sz="6" w:space="0"/>
        </w:pBdr>
        <w:bidi w:val="0"/>
        <w:spacing w:before="0" w:beforeAutospacing="0" w:after="80" w:afterAutospacing="0" w:line="14" w:lineRule="atLeast"/>
        <w:jc w:val="both"/>
      </w:pPr>
    </w:p>
    <w:p w14:paraId="5DFD37A7">
      <w:pPr>
        <w:keepNext w:val="0"/>
        <w:keepLines w:val="0"/>
        <w:widowControl/>
        <w:suppressLineNumbers w:val="0"/>
        <w:jc w:val="both"/>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7"/>
        <w:gridCol w:w="1050"/>
        <w:gridCol w:w="1603"/>
        <w:gridCol w:w="5858"/>
      </w:tblGrid>
      <w:tr w14:paraId="34824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16FB274">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Course Code: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0DD1B82">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18"/>
                <w:szCs w:val="18"/>
                <w:u w:val="none"/>
                <w:bdr w:val="none" w:color="auto" w:sz="0" w:space="0"/>
                <w:vertAlign w:val="baseline"/>
              </w:rPr>
              <w:t>CSA10 </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94CCF9">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Course Title: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A055120">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18"/>
                <w:szCs w:val="18"/>
                <w:u w:val="none"/>
                <w:bdr w:val="none" w:color="auto" w:sz="0" w:space="0"/>
                <w:vertAlign w:val="baseline"/>
              </w:rPr>
              <w:t>Software Engineering </w:t>
            </w:r>
          </w:p>
        </w:tc>
      </w:tr>
      <w:tr w14:paraId="3D376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57D1A54">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CO Assessed:</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F4A7618">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18"/>
                <w:szCs w:val="18"/>
                <w:u w:val="none"/>
                <w:bdr w:val="none" w:color="auto" w:sz="0" w:space="0"/>
                <w:vertAlign w:val="baseline"/>
              </w:rPr>
              <w:t>CO5</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2278DCF">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Assessment:</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7ED413A">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18"/>
                <w:szCs w:val="18"/>
                <w:u w:val="none"/>
                <w:bdr w:val="none" w:color="auto" w:sz="0" w:space="0"/>
                <w:vertAlign w:val="baseline"/>
              </w:rPr>
              <w:t xml:space="preserve">Assessment Tool 1 – </w:t>
            </w:r>
            <w:r>
              <w:rPr>
                <w:rFonts w:hint="default" w:ascii="Times New Roman" w:hAnsi="Times New Roman" w:cs="Times New Roman"/>
                <w:b/>
                <w:bCs/>
                <w:i w:val="0"/>
                <w:iCs w:val="0"/>
                <w:color w:val="000000"/>
                <w:sz w:val="20"/>
                <w:szCs w:val="20"/>
                <w:u w:val="none"/>
                <w:bdr w:val="none" w:color="auto" w:sz="0" w:space="0"/>
                <w:vertAlign w:val="baseline"/>
              </w:rPr>
              <w:t>Research Paper Review / Literature Survey</w:t>
            </w:r>
            <w:r>
              <w:rPr>
                <w:rFonts w:hint="default" w:ascii="Times New Roman" w:hAnsi="Times New Roman" w:cs="Times New Roman"/>
                <w:i w:val="0"/>
                <w:iCs w:val="0"/>
                <w:color w:val="000000"/>
                <w:sz w:val="24"/>
                <w:szCs w:val="24"/>
                <w:u w:val="none"/>
                <w:bdr w:val="none" w:color="auto" w:sz="0" w:space="0"/>
                <w:vertAlign w:val="baseline"/>
              </w:rPr>
              <w:t> </w:t>
            </w:r>
          </w:p>
        </w:tc>
      </w:tr>
      <w:tr w14:paraId="1B1B7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A203252">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Weightage: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423011B">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18"/>
                <w:szCs w:val="18"/>
                <w:u w:val="none"/>
                <w:bdr w:val="none" w:color="auto" w:sz="0" w:space="0"/>
                <w:vertAlign w:val="baseline"/>
              </w:rPr>
              <w:t>20%</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727C263">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Total Marks:</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39F70B">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18"/>
                <w:szCs w:val="18"/>
                <w:u w:val="none"/>
                <w:bdr w:val="none" w:color="auto" w:sz="0" w:space="0"/>
                <w:vertAlign w:val="baseline"/>
              </w:rPr>
              <w:t>25  </w:t>
            </w:r>
          </w:p>
        </w:tc>
      </w:tr>
      <w:tr w14:paraId="271EA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F16692F">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CO5 Statement:</w:t>
            </w:r>
          </w:p>
        </w:tc>
        <w:tc>
          <w:tcPr>
            <w:tcW w:w="0" w:type="auto"/>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top"/>
          </w:tcPr>
          <w:p w14:paraId="18CE6E7A">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Evaluate emerging technologies and societal impacts, maintaining and evolving software systems responsibly</w:t>
            </w:r>
          </w:p>
        </w:tc>
      </w:tr>
      <w:tr w14:paraId="1746F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6104ED3">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Student Name: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7E8776D">
            <w:pPr>
              <w:keepNext w:val="0"/>
              <w:keepLines w:val="0"/>
              <w:widowControl/>
              <w:suppressLineNumbers w:val="0"/>
              <w:bidi w:val="0"/>
              <w:jc w:val="both"/>
              <w:textAlignment w:val="center"/>
            </w:pP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D0B8DAF">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Reg. No.:</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FAC1BE4">
            <w:pPr>
              <w:keepNext w:val="0"/>
              <w:keepLines w:val="0"/>
              <w:widowControl/>
              <w:suppressLineNumbers w:val="0"/>
              <w:bidi w:val="0"/>
              <w:jc w:val="both"/>
              <w:textAlignment w:val="center"/>
            </w:pPr>
          </w:p>
        </w:tc>
      </w:tr>
      <w:tr w14:paraId="6A8D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DC17302">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Date: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489A55">
            <w:pPr>
              <w:keepNext w:val="0"/>
              <w:keepLines w:val="0"/>
              <w:widowControl/>
              <w:suppressLineNumbers w:val="0"/>
              <w:bidi w:val="0"/>
              <w:jc w:val="both"/>
              <w:textAlignment w:val="center"/>
            </w:pP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BE7F442">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18"/>
                <w:szCs w:val="18"/>
                <w:u w:val="none"/>
                <w:bdr w:val="none" w:color="auto" w:sz="0" w:space="0"/>
                <w:vertAlign w:val="baseline"/>
              </w:rPr>
              <w:t>Duration:</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5BAD35">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60 minutes</w:t>
            </w:r>
          </w:p>
        </w:tc>
      </w:tr>
    </w:tbl>
    <w:p w14:paraId="4125B1DB">
      <w:pPr>
        <w:keepNext w:val="0"/>
        <w:keepLines w:val="0"/>
        <w:widowControl/>
        <w:suppressLineNumbers w:val="0"/>
        <w:jc w:val="both"/>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48"/>
      </w:tblGrid>
      <w:tr w14:paraId="6E1A2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vAlign w:val="top"/>
          </w:tcPr>
          <w:p w14:paraId="183428A4">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C00000"/>
                <w:sz w:val="24"/>
                <w:szCs w:val="24"/>
                <w:u w:val="none"/>
                <w:bdr w:val="none" w:color="auto" w:sz="0" w:space="0"/>
                <w:vertAlign w:val="baseline"/>
              </w:rPr>
              <w:t>Code of Conduct</w:t>
            </w:r>
          </w:p>
          <w:p w14:paraId="44684CB9">
            <w:pPr>
              <w:pStyle w:val="33"/>
              <w:keepNext w:val="0"/>
              <w:keepLines w:val="0"/>
              <w:widowControl/>
              <w:suppressLineNumbers w:val="0"/>
              <w:bidi w:val="0"/>
              <w:spacing w:before="0" w:beforeAutospacing="0" w:after="60" w:afterAutospacing="0" w:line="14" w:lineRule="atLeast"/>
              <w:jc w:val="both"/>
            </w:pPr>
            <w:r>
              <w:rPr>
                <w:rFonts w:hint="default" w:ascii="Times New Roman" w:hAnsi="Times New Roman" w:cs="Times New Roman"/>
                <w:i/>
                <w:iCs/>
                <w:color w:val="000000"/>
                <w:sz w:val="18"/>
                <w:szCs w:val="18"/>
                <w:u w:val="none"/>
                <w:bdr w:val="none" w:color="auto" w:sz="0" w:space="0"/>
                <w:vertAlign w:val="baseline"/>
              </w:rPr>
              <w:t>I</w:t>
            </w:r>
            <w:r>
              <w:rPr>
                <w:rFonts w:hint="default" w:ascii="Times New Roman" w:hAnsi="Times New Roman" w:cs="Times New Roman"/>
                <w:i/>
                <w:iCs/>
                <w:color w:val="000000"/>
                <w:sz w:val="18"/>
                <w:szCs w:val="18"/>
                <w:u w:val="none"/>
                <w:bdr w:val="none" w:color="auto" w:sz="0" w:space="0"/>
                <w:vertAlign w:val="baseline"/>
                <w:lang w:val="en-IN"/>
              </w:rPr>
              <w:t xml:space="preserve"> Balaji K(192511404)</w:t>
            </w:r>
            <w:r>
              <w:rPr>
                <w:rFonts w:hint="default" w:ascii="Times New Roman" w:hAnsi="Times New Roman" w:cs="Times New Roman"/>
                <w:i/>
                <w:iCs/>
                <w:color w:val="000000"/>
                <w:sz w:val="18"/>
                <w:szCs w:val="18"/>
                <w:u w:val="none"/>
                <w:bdr w:val="none" w:color="auto" w:sz="0" w:space="0"/>
                <w:vertAlign w:val="baseline"/>
              </w:rPr>
              <w:t xml:space="preserve"> (Name / Reg No) certify that this submission is my original work and that I have adhered to the guidelines specified for this assessment. I understand that any violation of academic integrity rules will result in disciplinary action.</w:t>
            </w:r>
          </w:p>
          <w:p w14:paraId="2442008B">
            <w:pPr>
              <w:pStyle w:val="33"/>
              <w:keepNext w:val="0"/>
              <w:keepLines w:val="0"/>
              <w:widowControl/>
              <w:suppressLineNumbers w:val="0"/>
              <w:bidi w:val="0"/>
              <w:spacing w:before="0" w:beforeAutospacing="0" w:after="0" w:afterAutospacing="0" w:line="14" w:lineRule="atLeast"/>
              <w:jc w:val="both"/>
              <w:rPr>
                <w:rFonts w:hint="default"/>
                <w:lang w:val="en-IN"/>
              </w:rPr>
            </w:pPr>
            <w:r>
              <w:rPr>
                <w:rFonts w:hint="default" w:ascii="Times New Roman" w:hAnsi="Times New Roman" w:cs="Times New Roman"/>
                <w:i w:val="0"/>
                <w:iCs w:val="0"/>
                <w:color w:val="000000"/>
                <w:sz w:val="18"/>
                <w:szCs w:val="18"/>
                <w:u w:val="none"/>
                <w:bdr w:val="none" w:color="auto" w:sz="0" w:space="0"/>
                <w:vertAlign w:val="baseline"/>
              </w:rPr>
              <w:t>Signature of the Student:</w:t>
            </w:r>
            <w:r>
              <w:rPr>
                <w:rFonts w:hint="default" w:ascii="Times New Roman" w:hAnsi="Times New Roman" w:cs="Times New Roman"/>
                <w:i w:val="0"/>
                <w:iCs w:val="0"/>
                <w:color w:val="000000"/>
                <w:sz w:val="18"/>
                <w:szCs w:val="18"/>
                <w:u w:val="none"/>
                <w:bdr w:val="none" w:color="auto" w:sz="0" w:space="0"/>
                <w:vertAlign w:val="baseline"/>
                <w:lang w:val="en-IN"/>
              </w:rPr>
              <w:t xml:space="preserve"> balajik</w:t>
            </w:r>
          </w:p>
        </w:tc>
      </w:tr>
    </w:tbl>
    <w:p w14:paraId="3D6EAD8D">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C00000"/>
          <w:sz w:val="22"/>
          <w:szCs w:val="22"/>
          <w:u w:val="none"/>
          <w:vertAlign w:val="baseline"/>
        </w:rPr>
        <w:t xml:space="preserve">Annexure A – </w:t>
      </w:r>
      <w:r>
        <w:rPr>
          <w:rFonts w:hint="default" w:ascii="Times New Roman" w:hAnsi="Times New Roman" w:cs="Times New Roman"/>
          <w:i w:val="0"/>
          <w:iCs w:val="0"/>
          <w:color w:val="C00000"/>
          <w:sz w:val="24"/>
          <w:szCs w:val="24"/>
          <w:u w:val="none"/>
          <w:vertAlign w:val="baseline"/>
        </w:rPr>
        <w:t>Research Paper Review / Literature Survey </w:t>
      </w:r>
    </w:p>
    <w:p w14:paraId="0B8110C0">
      <w:pPr>
        <w:pStyle w:val="33"/>
        <w:keepNext w:val="0"/>
        <w:keepLines w:val="0"/>
        <w:widowControl/>
        <w:suppressLineNumbers w:val="0"/>
        <w:pBdr>
          <w:top w:val="none" w:color="auto" w:sz="0" w:space="0"/>
          <w:left w:val="none" w:color="auto" w:sz="0" w:space="0"/>
          <w:bottom w:val="single" w:color="C00000" w:sz="4" w:space="1"/>
          <w:right w:val="none" w:color="auto" w:sz="0" w:space="0"/>
        </w:pBdr>
        <w:bidi w:val="0"/>
        <w:spacing w:before="80" w:beforeAutospacing="0" w:after="40" w:afterAutospacing="0" w:line="14" w:lineRule="atLeast"/>
        <w:jc w:val="both"/>
      </w:pPr>
      <w:r>
        <w:rPr>
          <w:rFonts w:hint="default" w:ascii="Times New Roman" w:hAnsi="Times New Roman" w:cs="Times New Roman"/>
          <w:b/>
          <w:bCs/>
          <w:i w:val="0"/>
          <w:iCs w:val="0"/>
          <w:color w:val="000000"/>
          <w:sz w:val="24"/>
          <w:szCs w:val="24"/>
          <w:u w:val="none"/>
          <w:bdr w:val="none" w:color="auto" w:sz="0" w:space="0"/>
          <w:vertAlign w:val="baseline"/>
        </w:rPr>
        <w:t>Instructions to Students:</w:t>
      </w:r>
    </w:p>
    <w:p w14:paraId="247376C5">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Each student is assigned an individual problem statement. Based on the assigned problem statement, </w:t>
      </w:r>
      <w:r>
        <w:rPr>
          <w:rFonts w:hint="default" w:ascii="Times New Roman" w:hAnsi="Times New Roman" w:cs="Times New Roman"/>
          <w:b/>
          <w:bCs/>
          <w:i w:val="0"/>
          <w:iCs w:val="0"/>
          <w:color w:val="000000"/>
          <w:sz w:val="24"/>
          <w:szCs w:val="24"/>
          <w:u w:val="none"/>
          <w:vertAlign w:val="baseline"/>
        </w:rPr>
        <w:t>conduct a literature survey and review relevant research papers</w:t>
      </w:r>
      <w:r>
        <w:rPr>
          <w:rFonts w:hint="default" w:ascii="Times New Roman" w:hAnsi="Times New Roman" w:cs="Times New Roman"/>
          <w:i w:val="0"/>
          <w:iCs w:val="0"/>
          <w:color w:val="000000"/>
          <w:sz w:val="24"/>
          <w:szCs w:val="24"/>
          <w:u w:val="none"/>
          <w:vertAlign w:val="baseline"/>
        </w:rPr>
        <w:t> to understand the existing approaches, techniques, technologies, limitations, and research gaps related to the problem.</w:t>
      </w:r>
    </w:p>
    <w:p w14:paraId="385D201B">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The literature survey should include:</w:t>
      </w:r>
    </w:p>
    <w:p w14:paraId="31E19B45">
      <w:pPr>
        <w:pStyle w:val="33"/>
        <w:keepNext w:val="0"/>
        <w:keepLines w:val="0"/>
        <w:widowControl/>
        <w:numPr>
          <w:ilvl w:val="0"/>
          <w:numId w:val="7"/>
        </w:numPr>
        <w:suppressLineNumbers w:val="0"/>
        <w:bidi w:val="0"/>
        <w:spacing w:before="280" w:beforeAutospacing="0" w:after="0" w:afterAutospacing="0" w:line="360" w:lineRule="auto"/>
        <w:ind w:left="425" w:leftChars="0" w:hanging="425"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Identify and select </w:t>
      </w:r>
      <w:r>
        <w:rPr>
          <w:rFonts w:hint="default" w:ascii="Times New Roman" w:hAnsi="Times New Roman" w:cs="Times New Roman"/>
          <w:b/>
          <w:bCs/>
          <w:i w:val="0"/>
          <w:iCs w:val="0"/>
          <w:color w:val="000000"/>
          <w:sz w:val="24"/>
          <w:szCs w:val="24"/>
          <w:u w:val="none"/>
          <w:vertAlign w:val="baseline"/>
        </w:rPr>
        <w:t>relevant research papers</w:t>
      </w:r>
      <w:r>
        <w:rPr>
          <w:rFonts w:hint="default" w:ascii="Times New Roman" w:hAnsi="Times New Roman" w:cs="Times New Roman"/>
          <w:i w:val="0"/>
          <w:iCs w:val="0"/>
          <w:color w:val="000000"/>
          <w:sz w:val="24"/>
          <w:szCs w:val="24"/>
          <w:u w:val="none"/>
          <w:vertAlign w:val="baseline"/>
        </w:rPr>
        <w:t> related to the assigned problem statement from reputed journals, conferences, or scholarly databases.</w:t>
      </w:r>
    </w:p>
    <w:p w14:paraId="7DF05070">
      <w:pPr>
        <w:pStyle w:val="33"/>
        <w:keepNext w:val="0"/>
        <w:keepLines w:val="0"/>
        <w:widowControl/>
        <w:numPr>
          <w:ilvl w:val="0"/>
          <w:numId w:val="7"/>
        </w:numPr>
        <w:suppressLineNumbers w:val="0"/>
        <w:bidi w:val="0"/>
        <w:spacing w:before="0" w:beforeAutospacing="0" w:after="0" w:afterAutospacing="0" w:line="360" w:lineRule="auto"/>
        <w:ind w:left="425" w:leftChars="0" w:hanging="425"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Summarize the </w:t>
      </w:r>
      <w:r>
        <w:rPr>
          <w:rFonts w:hint="default" w:ascii="Times New Roman" w:hAnsi="Times New Roman" w:cs="Times New Roman"/>
          <w:b/>
          <w:bCs/>
          <w:i w:val="0"/>
          <w:iCs w:val="0"/>
          <w:color w:val="000000"/>
          <w:sz w:val="24"/>
          <w:szCs w:val="24"/>
          <w:u w:val="none"/>
          <w:vertAlign w:val="baseline"/>
        </w:rPr>
        <w:t>objectives, methodologies, technologies, datasets, and major findings</w:t>
      </w:r>
      <w:r>
        <w:rPr>
          <w:rFonts w:hint="default" w:ascii="Times New Roman" w:hAnsi="Times New Roman" w:cs="Times New Roman"/>
          <w:i w:val="0"/>
          <w:iCs w:val="0"/>
          <w:color w:val="000000"/>
          <w:sz w:val="24"/>
          <w:szCs w:val="24"/>
          <w:u w:val="none"/>
          <w:vertAlign w:val="baseline"/>
        </w:rPr>
        <w:t> of the selected research papers.</w:t>
      </w:r>
    </w:p>
    <w:p w14:paraId="29389518">
      <w:pPr>
        <w:pStyle w:val="33"/>
        <w:keepNext w:val="0"/>
        <w:keepLines w:val="0"/>
        <w:widowControl/>
        <w:numPr>
          <w:ilvl w:val="0"/>
          <w:numId w:val="7"/>
        </w:numPr>
        <w:suppressLineNumbers w:val="0"/>
        <w:bidi w:val="0"/>
        <w:spacing w:before="0" w:beforeAutospacing="0" w:after="0" w:afterAutospacing="0" w:line="360" w:lineRule="auto"/>
        <w:ind w:left="425" w:leftChars="0" w:hanging="425"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Compare the existing approaches based on suitable parameters such as </w:t>
      </w:r>
      <w:r>
        <w:rPr>
          <w:rFonts w:hint="default" w:ascii="Times New Roman" w:hAnsi="Times New Roman" w:cs="Times New Roman"/>
          <w:b/>
          <w:bCs/>
          <w:i w:val="0"/>
          <w:iCs w:val="0"/>
          <w:color w:val="000000"/>
          <w:sz w:val="24"/>
          <w:szCs w:val="24"/>
          <w:u w:val="none"/>
          <w:vertAlign w:val="baseline"/>
        </w:rPr>
        <w:t>accuracy, performance, scalability, efficiency, methodology, or other problem-specific metrics</w:t>
      </w:r>
      <w:r>
        <w:rPr>
          <w:rFonts w:hint="default" w:ascii="Times New Roman" w:hAnsi="Times New Roman" w:cs="Times New Roman"/>
          <w:i w:val="0"/>
          <w:iCs w:val="0"/>
          <w:color w:val="000000"/>
          <w:sz w:val="24"/>
          <w:szCs w:val="24"/>
          <w:u w:val="none"/>
          <w:vertAlign w:val="baseline"/>
        </w:rPr>
        <w:t>.</w:t>
      </w:r>
    </w:p>
    <w:p w14:paraId="1350765E">
      <w:pPr>
        <w:pStyle w:val="33"/>
        <w:keepNext w:val="0"/>
        <w:keepLines w:val="0"/>
        <w:widowControl/>
        <w:numPr>
          <w:ilvl w:val="0"/>
          <w:numId w:val="7"/>
        </w:numPr>
        <w:suppressLineNumbers w:val="0"/>
        <w:bidi w:val="0"/>
        <w:spacing w:before="0" w:beforeAutospacing="0" w:after="0" w:afterAutospacing="0" w:line="360" w:lineRule="auto"/>
        <w:ind w:left="425" w:leftChars="0" w:hanging="425"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Identify the </w:t>
      </w:r>
      <w:r>
        <w:rPr>
          <w:rFonts w:hint="default" w:ascii="Times New Roman" w:hAnsi="Times New Roman" w:cs="Times New Roman"/>
          <w:b/>
          <w:bCs/>
          <w:i w:val="0"/>
          <w:iCs w:val="0"/>
          <w:color w:val="000000"/>
          <w:sz w:val="24"/>
          <w:szCs w:val="24"/>
          <w:u w:val="none"/>
          <w:vertAlign w:val="baseline"/>
        </w:rPr>
        <w:t>limitations and challenges</w:t>
      </w:r>
      <w:r>
        <w:rPr>
          <w:rFonts w:hint="default" w:ascii="Times New Roman" w:hAnsi="Times New Roman" w:cs="Times New Roman"/>
          <w:i w:val="0"/>
          <w:iCs w:val="0"/>
          <w:color w:val="000000"/>
          <w:sz w:val="24"/>
          <w:szCs w:val="24"/>
          <w:u w:val="none"/>
          <w:vertAlign w:val="baseline"/>
        </w:rPr>
        <w:t> of the existing research approaches.</w:t>
      </w:r>
    </w:p>
    <w:p w14:paraId="3813E996">
      <w:pPr>
        <w:pStyle w:val="33"/>
        <w:keepNext w:val="0"/>
        <w:keepLines w:val="0"/>
        <w:widowControl/>
        <w:numPr>
          <w:ilvl w:val="0"/>
          <w:numId w:val="7"/>
        </w:numPr>
        <w:suppressLineNumbers w:val="0"/>
        <w:bidi w:val="0"/>
        <w:spacing w:before="0" w:beforeAutospacing="0" w:after="0" w:afterAutospacing="0" w:line="360" w:lineRule="auto"/>
        <w:ind w:left="425" w:leftChars="0" w:hanging="425"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Analyze the literature to identify the </w:t>
      </w:r>
      <w:r>
        <w:rPr>
          <w:rFonts w:hint="default" w:ascii="Times New Roman" w:hAnsi="Times New Roman" w:cs="Times New Roman"/>
          <w:b/>
          <w:bCs/>
          <w:i w:val="0"/>
          <w:iCs w:val="0"/>
          <w:color w:val="000000"/>
          <w:sz w:val="24"/>
          <w:szCs w:val="24"/>
          <w:u w:val="none"/>
          <w:vertAlign w:val="baseline"/>
        </w:rPr>
        <w:t>research gap</w:t>
      </w:r>
      <w:r>
        <w:rPr>
          <w:rFonts w:hint="default" w:ascii="Times New Roman" w:hAnsi="Times New Roman" w:cs="Times New Roman"/>
          <w:i w:val="0"/>
          <w:iCs w:val="0"/>
          <w:color w:val="000000"/>
          <w:sz w:val="24"/>
          <w:szCs w:val="24"/>
          <w:u w:val="none"/>
          <w:vertAlign w:val="baseline"/>
        </w:rPr>
        <w:t> or unresolved issues related to the assigned problem.</w:t>
      </w:r>
    </w:p>
    <w:p w14:paraId="7290FDD7">
      <w:pPr>
        <w:pStyle w:val="33"/>
        <w:keepNext w:val="0"/>
        <w:keepLines w:val="0"/>
        <w:widowControl/>
        <w:numPr>
          <w:ilvl w:val="0"/>
          <w:numId w:val="7"/>
        </w:numPr>
        <w:suppressLineNumbers w:val="0"/>
        <w:bidi w:val="0"/>
        <w:spacing w:before="0" w:beforeAutospacing="0" w:after="0" w:afterAutospacing="0" w:line="360" w:lineRule="auto"/>
        <w:ind w:left="425" w:leftChars="0" w:hanging="425"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Discuss the </w:t>
      </w:r>
      <w:r>
        <w:rPr>
          <w:rFonts w:hint="default" w:ascii="Times New Roman" w:hAnsi="Times New Roman" w:cs="Times New Roman"/>
          <w:b/>
          <w:bCs/>
          <w:i w:val="0"/>
          <w:iCs w:val="0"/>
          <w:color w:val="000000"/>
          <w:sz w:val="24"/>
          <w:szCs w:val="24"/>
          <w:u w:val="none"/>
          <w:vertAlign w:val="baseline"/>
        </w:rPr>
        <w:t>possible improvements or future research directions</w:t>
      </w:r>
      <w:r>
        <w:rPr>
          <w:rFonts w:hint="default" w:ascii="Times New Roman" w:hAnsi="Times New Roman" w:cs="Times New Roman"/>
          <w:i w:val="0"/>
          <w:iCs w:val="0"/>
          <w:color w:val="000000"/>
          <w:sz w:val="24"/>
          <w:szCs w:val="24"/>
          <w:u w:val="none"/>
          <w:vertAlign w:val="baseline"/>
        </w:rPr>
        <w:t> based on the identified research gap.</w:t>
      </w:r>
    </w:p>
    <w:p w14:paraId="1D398350">
      <w:pPr>
        <w:pStyle w:val="33"/>
        <w:keepNext w:val="0"/>
        <w:keepLines w:val="0"/>
        <w:widowControl/>
        <w:numPr>
          <w:ilvl w:val="0"/>
          <w:numId w:val="7"/>
        </w:numPr>
        <w:suppressLineNumbers w:val="0"/>
        <w:bidi w:val="0"/>
        <w:spacing w:before="0" w:beforeAutospacing="0" w:after="0" w:afterAutospacing="0" w:line="360" w:lineRule="auto"/>
        <w:ind w:left="425" w:leftChars="0" w:hanging="425"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Prepare a </w:t>
      </w:r>
      <w:r>
        <w:rPr>
          <w:rFonts w:hint="default" w:ascii="Times New Roman" w:hAnsi="Times New Roman" w:cs="Times New Roman"/>
          <w:b/>
          <w:bCs/>
          <w:i w:val="0"/>
          <w:iCs w:val="0"/>
          <w:color w:val="000000"/>
          <w:sz w:val="24"/>
          <w:szCs w:val="24"/>
          <w:u w:val="none"/>
          <w:vertAlign w:val="baseline"/>
        </w:rPr>
        <w:t>comparative literature survey table</w:t>
      </w:r>
      <w:r>
        <w:rPr>
          <w:rFonts w:hint="default" w:ascii="Times New Roman" w:hAnsi="Times New Roman" w:cs="Times New Roman"/>
          <w:i w:val="0"/>
          <w:iCs w:val="0"/>
          <w:color w:val="000000"/>
          <w:sz w:val="24"/>
          <w:szCs w:val="24"/>
          <w:u w:val="none"/>
          <w:vertAlign w:val="baseline"/>
        </w:rPr>
        <w:t> containing details such as author/year, research problem, methodology, dataset/tools, key findings, limitations, and research gap.</w:t>
      </w:r>
    </w:p>
    <w:p w14:paraId="6411DDC8">
      <w:pPr>
        <w:pStyle w:val="33"/>
        <w:keepNext w:val="0"/>
        <w:keepLines w:val="0"/>
        <w:widowControl/>
        <w:numPr>
          <w:ilvl w:val="0"/>
          <w:numId w:val="7"/>
        </w:numPr>
        <w:suppressLineNumbers w:val="0"/>
        <w:bidi w:val="0"/>
        <w:spacing w:before="0" w:beforeAutospacing="0" w:after="280" w:afterAutospacing="0" w:line="360" w:lineRule="auto"/>
        <w:ind w:left="425" w:leftChars="0" w:hanging="425"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Provide proper </w:t>
      </w:r>
      <w:r>
        <w:rPr>
          <w:rFonts w:hint="default" w:ascii="Times New Roman" w:hAnsi="Times New Roman" w:cs="Times New Roman"/>
          <w:b/>
          <w:bCs/>
          <w:i w:val="0"/>
          <w:iCs w:val="0"/>
          <w:color w:val="000000"/>
          <w:sz w:val="24"/>
          <w:szCs w:val="24"/>
          <w:u w:val="none"/>
          <w:vertAlign w:val="baseline"/>
        </w:rPr>
        <w:t>citations and references</w:t>
      </w:r>
      <w:r>
        <w:rPr>
          <w:rFonts w:hint="default" w:ascii="Times New Roman" w:hAnsi="Times New Roman" w:cs="Times New Roman"/>
          <w:i w:val="0"/>
          <w:iCs w:val="0"/>
          <w:color w:val="000000"/>
          <w:sz w:val="24"/>
          <w:szCs w:val="24"/>
          <w:u w:val="none"/>
          <w:vertAlign w:val="baseline"/>
        </w:rPr>
        <w:t> using a consistent referencing style.</w:t>
      </w:r>
    </w:p>
    <w:p w14:paraId="33F6ABF1">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Deliverable:</w:t>
      </w:r>
      <w:r>
        <w:rPr>
          <w:rFonts w:hint="default" w:ascii="Times New Roman" w:hAnsi="Times New Roman" w:cs="Times New Roman"/>
          <w:i w:val="0"/>
          <w:iCs w:val="0"/>
          <w:color w:val="000000"/>
          <w:sz w:val="24"/>
          <w:szCs w:val="24"/>
          <w:u w:val="none"/>
          <w:vertAlign w:val="baseline"/>
        </w:rPr>
        <w:t> Submit a </w:t>
      </w:r>
      <w:r>
        <w:rPr>
          <w:rFonts w:hint="default" w:ascii="Times New Roman" w:hAnsi="Times New Roman" w:cs="Times New Roman"/>
          <w:b/>
          <w:bCs/>
          <w:i w:val="0"/>
          <w:iCs w:val="0"/>
          <w:color w:val="000000"/>
          <w:sz w:val="24"/>
          <w:szCs w:val="24"/>
          <w:u w:val="none"/>
          <w:vertAlign w:val="baseline"/>
        </w:rPr>
        <w:t>Research Paper Review / Literature Survey Report</w:t>
      </w:r>
      <w:r>
        <w:rPr>
          <w:rFonts w:hint="default" w:ascii="Times New Roman" w:hAnsi="Times New Roman" w:cs="Times New Roman"/>
          <w:i w:val="0"/>
          <w:iCs w:val="0"/>
          <w:color w:val="000000"/>
          <w:sz w:val="24"/>
          <w:szCs w:val="24"/>
          <w:u w:val="none"/>
          <w:vertAlign w:val="baseline"/>
        </w:rPr>
        <w:t> containing the selected research papers, individual paper reviews, comparative analysis, identified research gaps, future directions, and properly formatted references.</w:t>
      </w:r>
    </w:p>
    <w:p w14:paraId="5BFA8896">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2B226B4D">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17FB2E12">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4855A77A">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4B0F65DC">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031BDA08">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4102DF69">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285B9508">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0D23A4B1">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45CF9014">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255A7B62">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5DA5F3A7">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4A2BF621">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0923D49B">
      <w:pPr>
        <w:pStyle w:val="33"/>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6FF4AC44">
      <w:pPr>
        <w:keepNext w:val="0"/>
        <w:keepLines w:val="0"/>
        <w:widowControl/>
        <w:suppressLineNumbers w:val="0"/>
        <w:spacing w:after="240" w:afterAutospacing="0"/>
        <w:jc w:val="both"/>
      </w:pPr>
      <w:r>
        <w:rPr>
          <w:rFonts w:ascii="SimSun" w:hAnsi="SimSun" w:eastAsia="SimSun" w:cs="SimSun"/>
          <w:b w:val="0"/>
          <w:bCs w:val="0"/>
          <w:color w:val="000000"/>
          <w:kern w:val="0"/>
          <w:sz w:val="24"/>
          <w:szCs w:val="24"/>
          <w:lang w:val="en-US" w:eastAsia="zh-CN" w:bidi="ar"/>
        </w:rPr>
        <w:br w:type="textWrapping"/>
      </w:r>
    </w:p>
    <w:p w14:paraId="6391599D">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1F4E79"/>
          <w:sz w:val="22"/>
          <w:szCs w:val="22"/>
          <w:u w:val="none"/>
          <w:vertAlign w:val="baseline"/>
        </w:rPr>
        <w:t>Rubrics for Calculation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9"/>
        <w:gridCol w:w="2283"/>
        <w:gridCol w:w="2260"/>
        <w:gridCol w:w="1602"/>
        <w:gridCol w:w="1599"/>
      </w:tblGrid>
      <w:tr w14:paraId="2EDD1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2835FC6">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FFFFFF"/>
                <w:sz w:val="20"/>
                <w:szCs w:val="20"/>
                <w:u w:val="none"/>
                <w:bdr w:val="none" w:color="auto" w:sz="0" w:space="0"/>
                <w:vertAlign w:val="baseline"/>
              </w:rPr>
              <w:t>Evaluation Criteria</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499E0F2F">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FFFFFF"/>
                <w:sz w:val="20"/>
                <w:szCs w:val="20"/>
                <w:u w:val="none"/>
                <w:bdr w:val="none" w:color="auto" w:sz="0" w:space="0"/>
                <w:vertAlign w:val="baseline"/>
              </w:rPr>
              <w:t>Excellent (4 Marks)</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16E7C1C">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FFFFFF"/>
                <w:sz w:val="20"/>
                <w:szCs w:val="20"/>
                <w:u w:val="none"/>
                <w:bdr w:val="none" w:color="auto" w:sz="0" w:space="0"/>
                <w:vertAlign w:val="baseline"/>
              </w:rPr>
              <w:t>Good (3 Marks)</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6F4DA88">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FFFFFF"/>
                <w:sz w:val="20"/>
                <w:szCs w:val="20"/>
                <w:u w:val="none"/>
                <w:bdr w:val="none" w:color="auto" w:sz="0" w:space="0"/>
                <w:vertAlign w:val="baseline"/>
              </w:rPr>
              <w:t>Satisfactory (2 Marks)</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0" w:type="dxa"/>
              <w:left w:w="115" w:type="dxa"/>
              <w:bottom w:w="0" w:type="dxa"/>
              <w:right w:w="115" w:type="dxa"/>
            </w:tcMar>
            <w:vAlign w:val="center"/>
          </w:tcPr>
          <w:p w14:paraId="3CBE90AF">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FFFFFF"/>
                <w:sz w:val="20"/>
                <w:szCs w:val="20"/>
                <w:u w:val="none"/>
                <w:bdr w:val="none" w:color="auto" w:sz="0" w:space="0"/>
                <w:vertAlign w:val="baseline"/>
              </w:rPr>
              <w:t>Needs Improvement (1 Mark)</w:t>
            </w:r>
          </w:p>
        </w:tc>
      </w:tr>
      <w:tr w14:paraId="7F6FA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1F4E79"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D307F6A">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bdr w:val="none" w:color="auto" w:sz="0" w:space="0"/>
                <w:vertAlign w:val="baseline"/>
              </w:rPr>
              <w:t>Selection &amp; Review of Research Papers(25%)</w:t>
            </w:r>
          </w:p>
        </w:tc>
        <w:tc>
          <w:tcPr>
            <w:tcW w:w="0" w:type="auto"/>
            <w:tcBorders>
              <w:top w:val="single" w:color="1F4E79" w:sz="4" w:space="0"/>
              <w:left w:val="single" w:color="9DC3E6" w:sz="4" w:space="0"/>
              <w:bottom w:val="single" w:color="9DC3E6" w:sz="4" w:space="0"/>
              <w:right w:val="single" w:color="9DC3E6" w:sz="4" w:space="0"/>
            </w:tcBorders>
            <w:shd w:val="clear" w:color="auto" w:fill="E5DFEC"/>
            <w:tcMar>
              <w:top w:w="70" w:type="dxa"/>
              <w:left w:w="120" w:type="dxa"/>
              <w:bottom w:w="70" w:type="dxa"/>
              <w:right w:w="120" w:type="dxa"/>
            </w:tcMar>
            <w:vAlign w:val="center"/>
          </w:tcPr>
          <w:p w14:paraId="39598BB4">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Selects highly relevant, recent, credible papers and provides comprehensive reviews of objectives, methodology, tools, datasets, and findings</w:t>
            </w:r>
          </w:p>
        </w:tc>
        <w:tc>
          <w:tcPr>
            <w:tcW w:w="0" w:type="auto"/>
            <w:tcBorders>
              <w:top w:val="single" w:color="1F4E79"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356F14B8">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Selects relevant papers and provides good reviews with minor gaps</w:t>
            </w:r>
          </w:p>
        </w:tc>
        <w:tc>
          <w:tcPr>
            <w:tcW w:w="0" w:type="auto"/>
            <w:tcBorders>
              <w:top w:val="single" w:color="1F4E79"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55F95549">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Selects moderately relevant papers with basic reviews</w:t>
            </w:r>
          </w:p>
        </w:tc>
        <w:tc>
          <w:tcPr>
            <w:tcW w:w="0" w:type="auto"/>
            <w:tcBorders>
              <w:top w:val="single" w:color="1F4E79" w:sz="4" w:space="0"/>
              <w:left w:val="single" w:color="9DC3E6" w:sz="4" w:space="0"/>
              <w:bottom w:val="single" w:color="9DC3E6" w:sz="4" w:space="0"/>
              <w:right w:val="single" w:color="9DC3E6" w:sz="4" w:space="0"/>
            </w:tcBorders>
            <w:shd w:val="clear" w:color="auto" w:fill="F2DBDB"/>
            <w:tcMar>
              <w:top w:w="0" w:type="dxa"/>
              <w:left w:w="115" w:type="dxa"/>
              <w:bottom w:w="0" w:type="dxa"/>
              <w:right w:w="115" w:type="dxa"/>
            </w:tcMar>
            <w:vAlign w:val="center"/>
          </w:tcPr>
          <w:p w14:paraId="53BFD8B9">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Papers are irrelevant or reviews are incomplete</w:t>
            </w:r>
          </w:p>
        </w:tc>
      </w:tr>
      <w:tr w14:paraId="41907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2812D41D">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bdr w:val="none" w:color="auto" w:sz="0" w:space="0"/>
                <w:vertAlign w:val="baseline"/>
              </w:rPr>
              <w:t>Comparative Analysis(20%)</w:t>
            </w:r>
          </w:p>
        </w:tc>
        <w:tc>
          <w:tcPr>
            <w:tcW w:w="0" w:type="auto"/>
            <w:tcBorders>
              <w:top w:val="single" w:color="9DC3E6" w:sz="4" w:space="0"/>
              <w:left w:val="single" w:color="9DC3E6" w:sz="4" w:space="0"/>
              <w:bottom w:val="single" w:color="9DC3E6" w:sz="4" w:space="0"/>
              <w:right w:val="single" w:color="9DC3E6" w:sz="4" w:space="0"/>
            </w:tcBorders>
            <w:shd w:val="clear" w:color="auto" w:fill="E5DFEC"/>
            <w:tcMar>
              <w:top w:w="70" w:type="dxa"/>
              <w:left w:w="120" w:type="dxa"/>
              <w:bottom w:w="70" w:type="dxa"/>
              <w:right w:w="120" w:type="dxa"/>
            </w:tcMar>
            <w:vAlign w:val="center"/>
          </w:tcPr>
          <w:p w14:paraId="62D51A0D">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Provides a detailed comparison of methodologies, tools, datasets, results, and performance using a clear comparison table</w:t>
            </w:r>
          </w:p>
        </w:tc>
        <w:tc>
          <w:tcPr>
            <w:tcW w:w="0" w:type="auto"/>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27DA1A82">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Provides a good comparison with relevant parameters</w:t>
            </w:r>
          </w:p>
        </w:tc>
        <w:tc>
          <w:tcPr>
            <w:tcW w:w="0" w:type="auto"/>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7BEB9D08">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Provides limited comparison with few parameters</w:t>
            </w:r>
          </w:p>
        </w:tc>
        <w:tc>
          <w:tcPr>
            <w:tcW w:w="0" w:type="auto"/>
            <w:tcBorders>
              <w:top w:val="single" w:color="9DC3E6" w:sz="4" w:space="0"/>
              <w:left w:val="single" w:color="9DC3E6" w:sz="4" w:space="0"/>
              <w:bottom w:val="single" w:color="9DC3E6" w:sz="4" w:space="0"/>
              <w:right w:val="single" w:color="9DC3E6" w:sz="4" w:space="0"/>
            </w:tcBorders>
            <w:shd w:val="clear" w:color="auto" w:fill="F2DBDB"/>
            <w:tcMar>
              <w:top w:w="0" w:type="dxa"/>
              <w:left w:w="115" w:type="dxa"/>
              <w:bottom w:w="0" w:type="dxa"/>
              <w:right w:w="115" w:type="dxa"/>
            </w:tcMar>
            <w:vAlign w:val="center"/>
          </w:tcPr>
          <w:p w14:paraId="52E78382">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Little or no meaningful comparison</w:t>
            </w:r>
          </w:p>
        </w:tc>
      </w:tr>
      <w:tr w14:paraId="4CB85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6F72915A">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bdr w:val="none" w:color="auto" w:sz="0" w:space="0"/>
                <w:vertAlign w:val="baseline"/>
              </w:rPr>
              <w:t>Critical Analysis &amp; Research Gap(25%)</w:t>
            </w:r>
          </w:p>
        </w:tc>
        <w:tc>
          <w:tcPr>
            <w:tcW w:w="0" w:type="auto"/>
            <w:tcBorders>
              <w:top w:val="single" w:color="9DC3E6" w:sz="4" w:space="0"/>
              <w:left w:val="single" w:color="9DC3E6" w:sz="4" w:space="0"/>
              <w:bottom w:val="single" w:color="9DC3E6" w:sz="4" w:space="0"/>
              <w:right w:val="single" w:color="9DC3E6" w:sz="4" w:space="0"/>
            </w:tcBorders>
            <w:shd w:val="clear" w:color="auto" w:fill="E5DFEC"/>
            <w:tcMar>
              <w:top w:w="70" w:type="dxa"/>
              <w:left w:w="120" w:type="dxa"/>
              <w:bottom w:w="70" w:type="dxa"/>
              <w:right w:w="120" w:type="dxa"/>
            </w:tcMar>
            <w:vAlign w:val="center"/>
          </w:tcPr>
          <w:p w14:paraId="612469CA">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Clearly analyzes limitations and identifies significant, well-supported research gaps</w:t>
            </w:r>
          </w:p>
        </w:tc>
        <w:tc>
          <w:tcPr>
            <w:tcW w:w="0" w:type="auto"/>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4CED0C91">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Identifies relevant limitations and research gaps</w:t>
            </w:r>
          </w:p>
        </w:tc>
        <w:tc>
          <w:tcPr>
            <w:tcW w:w="0" w:type="auto"/>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3D2CC720">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Identifies basic gaps with limited analysis</w:t>
            </w:r>
          </w:p>
        </w:tc>
        <w:tc>
          <w:tcPr>
            <w:tcW w:w="0" w:type="auto"/>
            <w:tcBorders>
              <w:top w:val="single" w:color="9DC3E6" w:sz="4" w:space="0"/>
              <w:left w:val="single" w:color="9DC3E6" w:sz="4" w:space="0"/>
              <w:bottom w:val="single" w:color="9DC3E6" w:sz="4" w:space="0"/>
              <w:right w:val="single" w:color="9DC3E6" w:sz="4" w:space="0"/>
            </w:tcBorders>
            <w:shd w:val="clear" w:color="auto" w:fill="F2DBDB"/>
            <w:tcMar>
              <w:top w:w="0" w:type="dxa"/>
              <w:left w:w="115" w:type="dxa"/>
              <w:bottom w:w="0" w:type="dxa"/>
              <w:right w:w="115" w:type="dxa"/>
            </w:tcMar>
            <w:vAlign w:val="center"/>
          </w:tcPr>
          <w:p w14:paraId="72E5658F">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Research gaps are unclear or missing</w:t>
            </w:r>
          </w:p>
        </w:tc>
      </w:tr>
      <w:tr w14:paraId="233C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444ADB45">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bdr w:val="none" w:color="auto" w:sz="0" w:space="0"/>
                <w:vertAlign w:val="baseline"/>
              </w:rPr>
              <w:t>Future Directions &amp; Relevance(15%)</w:t>
            </w:r>
          </w:p>
        </w:tc>
        <w:tc>
          <w:tcPr>
            <w:tcW w:w="0" w:type="auto"/>
            <w:tcBorders>
              <w:top w:val="single" w:color="9DC3E6" w:sz="4" w:space="0"/>
              <w:left w:val="single" w:color="9DC3E6" w:sz="4" w:space="0"/>
              <w:bottom w:val="single" w:color="9DC3E6" w:sz="4" w:space="0"/>
              <w:right w:val="single" w:color="9DC3E6" w:sz="4" w:space="0"/>
            </w:tcBorders>
            <w:shd w:val="clear" w:color="auto" w:fill="E5DFEC"/>
            <w:tcMar>
              <w:top w:w="70" w:type="dxa"/>
              <w:left w:w="120" w:type="dxa"/>
              <w:bottom w:w="70" w:type="dxa"/>
              <w:right w:w="120" w:type="dxa"/>
            </w:tcMar>
            <w:vAlign w:val="center"/>
          </w:tcPr>
          <w:p w14:paraId="73476546">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Proposes practical and innovative future directions directly relevant to the assigned problem statement</w:t>
            </w:r>
          </w:p>
        </w:tc>
        <w:tc>
          <w:tcPr>
            <w:tcW w:w="0" w:type="auto"/>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709A72FA">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Proposes relevant future directions</w:t>
            </w:r>
          </w:p>
        </w:tc>
        <w:tc>
          <w:tcPr>
            <w:tcW w:w="0" w:type="auto"/>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636021E0">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Provides general future suggestions</w:t>
            </w:r>
          </w:p>
        </w:tc>
        <w:tc>
          <w:tcPr>
            <w:tcW w:w="0" w:type="auto"/>
            <w:tcBorders>
              <w:top w:val="single" w:color="9DC3E6" w:sz="4" w:space="0"/>
              <w:left w:val="single" w:color="9DC3E6" w:sz="4" w:space="0"/>
              <w:bottom w:val="single" w:color="9DC3E6" w:sz="4" w:space="0"/>
              <w:right w:val="single" w:color="9DC3E6" w:sz="4" w:space="0"/>
            </w:tcBorders>
            <w:shd w:val="clear" w:color="auto" w:fill="F2DBDB"/>
            <w:tcMar>
              <w:top w:w="0" w:type="dxa"/>
              <w:left w:w="115" w:type="dxa"/>
              <w:bottom w:w="0" w:type="dxa"/>
              <w:right w:w="115" w:type="dxa"/>
            </w:tcMar>
            <w:vAlign w:val="center"/>
          </w:tcPr>
          <w:p w14:paraId="0B9031BD">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Future directions are missing or unrelated</w:t>
            </w:r>
          </w:p>
        </w:tc>
      </w:tr>
      <w:tr w14:paraId="301B1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5C816BD1">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bdr w:val="none" w:color="auto" w:sz="0" w:space="0"/>
                <w:vertAlign w:val="baseline"/>
              </w:rPr>
              <w:t>Documentation, Citations &amp; References(15%)</w:t>
            </w:r>
          </w:p>
        </w:tc>
        <w:tc>
          <w:tcPr>
            <w:tcW w:w="0" w:type="auto"/>
            <w:tcBorders>
              <w:top w:val="single" w:color="9DC3E6" w:sz="4" w:space="0"/>
              <w:left w:val="single" w:color="9DC3E6" w:sz="4" w:space="0"/>
              <w:bottom w:val="single" w:color="9DC3E6" w:sz="4" w:space="0"/>
              <w:right w:val="single" w:color="9DC3E6" w:sz="4" w:space="0"/>
            </w:tcBorders>
            <w:shd w:val="clear" w:color="auto" w:fill="E5DFEC"/>
            <w:tcMar>
              <w:top w:w="70" w:type="dxa"/>
              <w:left w:w="120" w:type="dxa"/>
              <w:bottom w:w="70" w:type="dxa"/>
              <w:right w:w="120" w:type="dxa"/>
            </w:tcMar>
            <w:vAlign w:val="center"/>
          </w:tcPr>
          <w:p w14:paraId="03D93C95">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Excellent academic structure, clear presentation, accurate citations, and consistent referencing</w:t>
            </w:r>
          </w:p>
        </w:tc>
        <w:tc>
          <w:tcPr>
            <w:tcW w:w="0" w:type="auto"/>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3A00F5F9">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Well-organized with minor formatting/citation issues</w:t>
            </w:r>
          </w:p>
        </w:tc>
        <w:tc>
          <w:tcPr>
            <w:tcW w:w="0" w:type="auto"/>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43031254">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Adequately documented with some errors</w:t>
            </w:r>
          </w:p>
        </w:tc>
        <w:tc>
          <w:tcPr>
            <w:tcW w:w="0" w:type="auto"/>
            <w:tcBorders>
              <w:top w:val="single" w:color="9DC3E6" w:sz="4" w:space="0"/>
              <w:left w:val="single" w:color="9DC3E6" w:sz="4" w:space="0"/>
              <w:bottom w:val="single" w:color="9DC3E6" w:sz="4" w:space="0"/>
              <w:right w:val="single" w:color="9DC3E6" w:sz="4" w:space="0"/>
            </w:tcBorders>
            <w:shd w:val="clear" w:color="auto" w:fill="F2DBDB"/>
            <w:tcMar>
              <w:top w:w="0" w:type="dxa"/>
              <w:left w:w="115" w:type="dxa"/>
              <w:bottom w:w="0" w:type="dxa"/>
              <w:right w:w="115" w:type="dxa"/>
            </w:tcMar>
            <w:vAlign w:val="center"/>
          </w:tcPr>
          <w:p w14:paraId="667C0607">
            <w:pPr>
              <w:pStyle w:val="33"/>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bdr w:val="none" w:color="auto" w:sz="0" w:space="0"/>
                <w:vertAlign w:val="baseline"/>
              </w:rPr>
              <w:t>Poorly organized with inadequate or incorrect references</w:t>
            </w:r>
          </w:p>
        </w:tc>
      </w:tr>
    </w:tbl>
    <w:p w14:paraId="06762CD0">
      <w:pPr>
        <w:keepNext w:val="0"/>
        <w:keepLines w:val="0"/>
        <w:widowControl/>
        <w:suppressLineNumbers w:val="0"/>
        <w:spacing w:after="240" w:afterAutospacing="0"/>
        <w:jc w:val="both"/>
      </w:pPr>
      <w:r>
        <w:rPr>
          <w:rFonts w:ascii="SimSun" w:hAnsi="SimSun" w:eastAsia="SimSun" w:cs="SimSun"/>
          <w:b w:val="0"/>
          <w:bCs w:val="0"/>
          <w:color w:val="000000"/>
          <w:kern w:val="0"/>
          <w:sz w:val="24"/>
          <w:szCs w:val="24"/>
          <w:lang w:val="en-US" w:eastAsia="zh-CN" w:bidi="ar"/>
        </w:rPr>
        <w:br w:type="textWrapping"/>
      </w:r>
      <w:r>
        <w:rPr>
          <w:rFonts w:ascii="SimSun" w:hAnsi="SimSun" w:eastAsia="SimSun" w:cs="SimSun"/>
          <w:b w:val="0"/>
          <w:bCs w:val="0"/>
          <w:color w:val="000000"/>
          <w:kern w:val="0"/>
          <w:sz w:val="24"/>
          <w:szCs w:val="24"/>
          <w:lang w:val="en-US" w:eastAsia="zh-CN" w:bidi="ar"/>
        </w:rPr>
        <w:br w:type="textWrapping"/>
      </w:r>
      <w:r>
        <w:rPr>
          <w:rFonts w:ascii="SimSun" w:hAnsi="SimSun" w:eastAsia="SimSun" w:cs="SimSun"/>
          <w:b w:val="0"/>
          <w:bCs w:val="0"/>
          <w:color w:val="000000"/>
          <w:kern w:val="0"/>
          <w:sz w:val="24"/>
          <w:szCs w:val="24"/>
          <w:lang w:val="en-US" w:eastAsia="zh-CN" w:bidi="ar"/>
        </w:rPr>
        <w:br w:type="textWrapping"/>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22"/>
        <w:gridCol w:w="803"/>
      </w:tblGrid>
      <w:tr w14:paraId="5ABD1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CFADADE">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rPr>
            </w:pPr>
            <w:r>
              <w:rPr>
                <w:rFonts w:hint="default" w:ascii="Times New Roman" w:hAnsi="Times New Roman" w:eastAsia="-webkit-standard" w:cs="Times New Roman"/>
                <w:b/>
                <w:bCs/>
                <w:i w:val="0"/>
                <w:iCs w:val="0"/>
                <w:color w:val="000000"/>
                <w:sz w:val="27"/>
                <w:szCs w:val="27"/>
                <w:u w:val="none"/>
                <w:bdr w:val="none" w:color="auto" w:sz="0" w:space="0"/>
                <w:vertAlign w:val="baseline"/>
              </w:rPr>
              <w:t>Criteria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616D121">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bdr w:val="none" w:color="auto" w:sz="0" w:space="0"/>
                <w:vertAlign w:val="baseline"/>
              </w:rPr>
              <w:t>Mark</w:t>
            </w:r>
          </w:p>
        </w:tc>
      </w:tr>
      <w:tr w14:paraId="22E79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3892035">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bdr w:val="none" w:color="auto" w:sz="0" w:space="0"/>
                <w:vertAlign w:val="baseline"/>
              </w:rPr>
              <w:t>Selection &amp; Review of Research Papers(25%)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4194749">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b/>
                <w:bCs/>
              </w:rPr>
            </w:pPr>
            <w:r>
              <w:rPr>
                <w:rFonts w:hint="default" w:ascii="Times New Roman" w:hAnsi="Times New Roman" w:cs="Times New Roman"/>
                <w:b/>
                <w:bCs/>
                <w:i w:val="0"/>
                <w:iCs w:val="0"/>
                <w:color w:val="000000"/>
                <w:sz w:val="24"/>
                <w:szCs w:val="24"/>
                <w:u w:val="none"/>
                <w:bdr w:val="none" w:color="auto" w:sz="0" w:space="0"/>
                <w:vertAlign w:val="baseline"/>
              </w:rPr>
              <w:t>/5</w:t>
            </w:r>
          </w:p>
        </w:tc>
      </w:tr>
      <w:tr w14:paraId="67E29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16AFBFD4">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bdr w:val="none" w:color="auto" w:sz="0" w:space="0"/>
                <w:vertAlign w:val="baseline"/>
              </w:rPr>
              <w:t>Comparative Analysis(20%)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F21A14D">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b/>
                <w:bCs/>
              </w:rPr>
            </w:pPr>
            <w:r>
              <w:rPr>
                <w:rFonts w:hint="default" w:ascii="Times New Roman" w:hAnsi="Times New Roman" w:cs="Times New Roman"/>
                <w:b/>
                <w:bCs/>
                <w:i w:val="0"/>
                <w:iCs w:val="0"/>
                <w:color w:val="000000"/>
                <w:sz w:val="24"/>
                <w:szCs w:val="24"/>
                <w:u w:val="none"/>
                <w:bdr w:val="none" w:color="auto" w:sz="0" w:space="0"/>
                <w:vertAlign w:val="baseline"/>
              </w:rPr>
              <w:t>/5</w:t>
            </w:r>
          </w:p>
        </w:tc>
      </w:tr>
      <w:tr w14:paraId="0515C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167293CF">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bdr w:val="none" w:color="auto" w:sz="0" w:space="0"/>
                <w:vertAlign w:val="baseline"/>
              </w:rPr>
              <w:t>Critical Analysis &amp; Research Gap(25%)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07A102A">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b/>
                <w:bCs/>
              </w:rPr>
            </w:pPr>
            <w:r>
              <w:rPr>
                <w:rFonts w:hint="default" w:ascii="Times New Roman" w:hAnsi="Times New Roman" w:cs="Times New Roman"/>
                <w:b/>
                <w:bCs/>
                <w:i w:val="0"/>
                <w:iCs w:val="0"/>
                <w:color w:val="000000"/>
                <w:sz w:val="24"/>
                <w:szCs w:val="24"/>
                <w:u w:val="none"/>
                <w:bdr w:val="none" w:color="auto" w:sz="0" w:space="0"/>
                <w:vertAlign w:val="baseline"/>
              </w:rPr>
              <w:t>/5</w:t>
            </w:r>
          </w:p>
        </w:tc>
      </w:tr>
      <w:tr w14:paraId="73E45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757CBFBD">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bdr w:val="none" w:color="auto" w:sz="0" w:space="0"/>
                <w:vertAlign w:val="baseline"/>
              </w:rPr>
              <w:t>Future Directions &amp; Relevance(15%)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95A5CFE">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b/>
                <w:bCs/>
              </w:rPr>
            </w:pPr>
            <w:r>
              <w:rPr>
                <w:rFonts w:hint="default" w:ascii="Times New Roman" w:hAnsi="Times New Roman" w:cs="Times New Roman"/>
                <w:b/>
                <w:bCs/>
                <w:i w:val="0"/>
                <w:iCs w:val="0"/>
                <w:color w:val="000000"/>
                <w:sz w:val="24"/>
                <w:szCs w:val="24"/>
                <w:u w:val="none"/>
                <w:bdr w:val="none" w:color="auto" w:sz="0" w:space="0"/>
                <w:vertAlign w:val="baseline"/>
              </w:rPr>
              <w:t>/5</w:t>
            </w:r>
          </w:p>
        </w:tc>
      </w:tr>
      <w:tr w14:paraId="07BF3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201B18F2">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bdr w:val="none" w:color="auto" w:sz="0" w:space="0"/>
                <w:vertAlign w:val="baseline"/>
              </w:rPr>
              <w:t>Documentation, Citations &amp; References(15%)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A75E0D6">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b/>
                <w:bCs/>
              </w:rPr>
            </w:pPr>
            <w:r>
              <w:rPr>
                <w:rFonts w:hint="default" w:ascii="Times New Roman" w:hAnsi="Times New Roman" w:cs="Times New Roman"/>
                <w:b/>
                <w:bCs/>
                <w:i w:val="0"/>
                <w:iCs w:val="0"/>
                <w:color w:val="000000"/>
                <w:sz w:val="24"/>
                <w:szCs w:val="24"/>
                <w:u w:val="none"/>
                <w:bdr w:val="none" w:color="auto" w:sz="0" w:space="0"/>
                <w:vertAlign w:val="baseline"/>
              </w:rPr>
              <w:t>/5</w:t>
            </w:r>
          </w:p>
        </w:tc>
      </w:tr>
      <w:tr w14:paraId="3965B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FB92DB4">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bdr w:val="none" w:color="auto" w:sz="0" w:space="0"/>
                <w:vertAlign w:val="baseline"/>
              </w:rPr>
              <w:t>TOTAL</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F45D869">
            <w:pPr>
              <w:pStyle w:val="33"/>
              <w:keepNext w:val="0"/>
              <w:keepLines w:val="0"/>
              <w:widowControl/>
              <w:suppressLineNumbers w:val="0"/>
              <w:bidi w:val="0"/>
              <w:spacing w:before="0" w:beforeAutospacing="0" w:after="50" w:afterAutospacing="0" w:line="14" w:lineRule="atLeast"/>
              <w:jc w:val="both"/>
              <w:rPr>
                <w:rFonts w:hint="default" w:ascii="Times New Roman" w:hAnsi="Times New Roman" w:cs="Times New Roman"/>
                <w:b/>
                <w:bCs/>
              </w:rPr>
            </w:pPr>
            <w:r>
              <w:rPr>
                <w:rFonts w:hint="default" w:ascii="Times New Roman" w:hAnsi="Times New Roman" w:cs="Times New Roman"/>
                <w:b/>
                <w:bCs/>
                <w:i w:val="0"/>
                <w:iCs w:val="0"/>
                <w:color w:val="000000"/>
                <w:sz w:val="24"/>
                <w:szCs w:val="24"/>
                <w:u w:val="none"/>
                <w:bdr w:val="none" w:color="auto" w:sz="0" w:space="0"/>
                <w:vertAlign w:val="baseline"/>
              </w:rPr>
              <w:t>/25</w:t>
            </w:r>
          </w:p>
        </w:tc>
      </w:tr>
    </w:tbl>
    <w:p w14:paraId="04AC45E1">
      <w:pPr>
        <w:keepNext w:val="0"/>
        <w:keepLines w:val="0"/>
        <w:widowControl/>
        <w:suppressLineNumbers w:val="0"/>
        <w:spacing w:after="240" w:afterAutospacing="0"/>
        <w:jc w:val="both"/>
        <w:rPr>
          <w:rFonts w:hint="default" w:ascii="Times New Roman" w:hAnsi="Times New Roman" w:cs="Times New Roman"/>
        </w:rPr>
      </w:pPr>
    </w:p>
    <w:p w14:paraId="0CE921D0">
      <w:pPr>
        <w:jc w:val="both"/>
      </w:pPr>
      <w:r>
        <w:br w:type="page"/>
      </w:r>
    </w:p>
    <w:p w14:paraId="46B339B6">
      <w:pPr>
        <w:pStyle w:val="2"/>
        <w:jc w:val="both"/>
      </w:pPr>
      <w:r>
        <w:rPr>
          <w:rFonts w:ascii="Times New Roman" w:hAnsi="Times New Roman"/>
          <w:color w:val="000000"/>
        </w:rPr>
        <w:t>Abstract</w:t>
      </w:r>
    </w:p>
    <w:p w14:paraId="0A786C7F">
      <w:pPr>
        <w:jc w:val="both"/>
      </w:pPr>
      <w:r>
        <w:rPr>
          <w:rFonts w:ascii="Times New Roman" w:hAnsi="Times New Roman"/>
          <w:b w:val="0"/>
          <w:i w:val="0"/>
          <w:color w:val="000000"/>
        </w:rPr>
        <w:t>Food supply chains have become highly distributed information systems in which raw materials, processed products, transportation units, storage facilities, inspection records, environmental measurements, and commercial transactions are controlled by different organizations. The physical movement of food and the digital movement of information are consequently not always synchronized. This separation creates a practical traceability problem: a business may know the identity of a shipment without possessing a reliable, continuous representation of the conditions experienced by that shipment. Temperature excursions, humidity changes, prolonged loading periods, refrigeration failures, and delayed handling can progressively reduce quality while remaining invisible to periodic inspection. When contamination or quality failure is discovered, fragmented records can also delay the identification of affected lots and increase the amount of product that must be isolated or discarded. Recent literature indicates that blockchain can improve traceability and auditability, while IoT provides continuous environmental observations and artificial intelligence can support prediction and anomaly detection. However, these technologies are often investigated as separate components rather than as one operational software system. [1–5]</w:t>
      </w:r>
    </w:p>
    <w:p w14:paraId="3F68F4AB">
      <w:pPr>
        <w:jc w:val="both"/>
      </w:pPr>
      <w:r>
        <w:rPr>
          <w:rFonts w:ascii="Times New Roman" w:hAnsi="Times New Roman"/>
          <w:b w:val="0"/>
          <w:i w:val="0"/>
          <w:color w:val="000000"/>
        </w:rPr>
        <w:t>This paper proposes an integrated AI-based smart food supply chain traceability and quality monitoring platform that combines physical sensing, edge computing, Bi-LSTM temporal inference, operational databases, and a hybrid permissioned blockchain ledger. The proposed architecture treats food quality monitoring as a continuous state-estimation problem. Temperature, relative humidity, door activity, location, product age, refrigeration state, and other contextual variables are collected through authenticated sensing devices. An edge gateway performs validation, buffering, feature extraction, and real-time inference. A bidirectional long short-term memory model is proposed for short-horizon environmental forecasting and quality-risk estimation. Deterministic product rules operate alongside the model so that regulatory or product-specific limits cannot be overridden by a prediction. High-frequency sensor data remain in an operational time-series store, while selected events, custody transitions, compliance decisions, and cryptographic commitments are written to a hybrid ledger. Smart contracts automate verifiable state transitions such as exception creation, custody acknowledgement, corrective-action requirements, and recall propagation. [6–10]</w:t>
      </w:r>
    </w:p>
    <w:p w14:paraId="41EF3C86">
      <w:pPr>
        <w:jc w:val="both"/>
      </w:pPr>
      <w:r>
        <w:rPr>
          <w:rFonts w:ascii="Times New Roman" w:hAnsi="Times New Roman"/>
          <w:b w:val="0"/>
          <w:i w:val="0"/>
          <w:color w:val="000000"/>
        </w:rPr>
        <w:t>The paper further connects digital monitoring with physical degradation by incorporating the Arrhenius relationship and cumulative thermal exposure concepts. This connection is important because a food item is affected by its history of exposure rather than only by its current temperature. The literature survey examines IoT-based cold-chain monitoring, edge and sequence-based prediction, blockchain traceability, smart-contract governance, digital twins, and AI-IoT-blockchain integration. A comparative survey table summarizes six recent studies and identifies the principal gaps that remain. The critical analysis shows that current work requires stronger sensor provenance, scalable off-chain/on-chain data separation, uncertainty-aware prediction, interoperable event models, cross-organizational governance, and realistic field validation. The proposed architecture addresses these gaps as a software engineering blueprint intended to support early intervention, evidence preservation, faster traceability queries, lower unnecessary food loss, and more efficient cold-storage operations. The platform is positioned as a decision-support and evidence-management system; it does not claim that a machine-learning prediction independently establishes food safety or regulatory compliance.</w:t>
      </w:r>
    </w:p>
    <w:p w14:paraId="5BD4C64D">
      <w:pPr>
        <w:jc w:val="both"/>
      </w:pPr>
      <w:r>
        <w:br w:type="page"/>
      </w:r>
    </w:p>
    <w:p w14:paraId="001F3383">
      <w:pPr>
        <w:pStyle w:val="2"/>
        <w:jc w:val="both"/>
      </w:pPr>
      <w:r>
        <w:rPr>
          <w:rFonts w:ascii="Times New Roman" w:hAnsi="Times New Roman"/>
          <w:color w:val="000000"/>
        </w:rPr>
        <w:t>1. Introduction</w:t>
      </w:r>
    </w:p>
    <w:p w14:paraId="286D28C1">
      <w:pPr>
        <w:jc w:val="both"/>
      </w:pPr>
      <w:r>
        <w:rPr>
          <w:rFonts w:ascii="Times New Roman" w:hAnsi="Times New Roman"/>
          <w:b w:val="0"/>
          <w:i w:val="0"/>
          <w:color w:val="000000"/>
        </w:rPr>
        <w:t>Food safety and quality management are increasingly dependent on the ability of organizations to observe and explain what happens to a food product after it leaves the point of production. Modern food supply chains can involve farms, collection centers, processors, packaging facilities, warehouses, transport operators, distributors, retailers, food-service organizations, laboratories, auditors, and regulators. Each participant produces information, but these records are commonly stored in separate systems. The resulting chain is physically continuous but digitally fragmented. A shipment can therefore travel through several locations while its digital history is represented by disconnected transaction records rather than a single event sequence. The problem becomes particularly visible when a product must be recalled. The organization must determine where the product originated, which lots were combined, which facilities handled it, how long it remained in each location, whether environmental limits were respected, and which downstream units received it.</w:t>
      </w:r>
    </w:p>
    <w:p w14:paraId="691EE3D3">
      <w:pPr>
        <w:jc w:val="both"/>
      </w:pPr>
      <w:r>
        <w:rPr>
          <w:rFonts w:ascii="Times New Roman" w:hAnsi="Times New Roman"/>
          <w:b w:val="0"/>
          <w:i w:val="0"/>
          <w:color w:val="000000"/>
        </w:rPr>
        <w:t>Conventional traceability systems have traditionally focused on recording identity and custody. Barcodes, batch numbers, invoices, inspection documents, and enterprise systems provide useful information about what was received and transferred. They are less effective at representing the physical conditions between these events. A warehouse record may state that a pallet entered a cold room at 09:15 and left at 13:00, but it may not show that the refrigeration system failed for twenty minutes at 11:30. Likewise, a transport record may identify the vehicle and destination but not preserve the detailed thermal history of the cargo. This distinction is important because food deterioration is often cumulative. A final temperature measurement cannot fully reconstruct the exposure that occurred earlier.</w:t>
      </w:r>
    </w:p>
    <w:p w14:paraId="01B045AF">
      <w:pPr>
        <w:jc w:val="both"/>
      </w:pPr>
      <w:r>
        <w:rPr>
          <w:rFonts w:ascii="Times New Roman" w:hAnsi="Times New Roman"/>
          <w:b w:val="0"/>
          <w:i w:val="0"/>
          <w:color w:val="000000"/>
        </w:rPr>
        <w:t>The increasing availability of low-cost sensors has changed this situation. Temperature and humidity sensors can collect observations at minute-level or sub-minute intervals, and gateways can transmit these observations through wireless or cellular networks. IoT-based cold-chain systems can therefore transform quality monitoring from periodic inspection into continuous observation. Recent literature confirms that IoT is widely used for environmental monitoring and that combining IoT with blockchain can improve traceability and information integrity. However, sensor collection by itself does not solve the decision problem. A dashboard that shows thousands of temperature measurements still requires a human operator to interpret trends and decide whether an event is likely to become serious. [1,2,5]</w:t>
      </w:r>
    </w:p>
    <w:p w14:paraId="3D3BCE77">
      <w:pPr>
        <w:jc w:val="both"/>
      </w:pPr>
      <w:r>
        <w:rPr>
          <w:rFonts w:ascii="Times New Roman" w:hAnsi="Times New Roman"/>
          <w:b w:val="0"/>
          <w:i w:val="0"/>
          <w:color w:val="000000"/>
        </w:rPr>
        <w:t>Artificial intelligence introduces a predictive component. Sequential models can learn temporal relationships in temperature and humidity measurements and estimate how conditions may evolve over a future interval. LSTM-based models have been studied for cold-chain environmental prediction, and recent work has increasingly explored integrated AI-IoT-blockchain systems. A 2026 study, for example, describes a blockchain-assisted IoT architecture combining environmental sensors, immutable logging, and a hybrid ARIMA-LSTM model for demand forecasting and spoilage-risk detection. Such work indicates that the research direction is moving from isolated monitoring toward integrated predictive traceability. [11]</w:t>
      </w:r>
    </w:p>
    <w:p w14:paraId="1E2673E9">
      <w:pPr>
        <w:jc w:val="both"/>
      </w:pPr>
      <w:r>
        <w:rPr>
          <w:rFonts w:ascii="Times New Roman" w:hAnsi="Times New Roman"/>
          <w:b w:val="0"/>
          <w:i w:val="0"/>
          <w:color w:val="000000"/>
        </w:rPr>
        <w:t>Blockchain addresses a third dimension of the problem: evidence integrity among organizations that may not share the same database or trust relationship. A distributed ledger can preserve transaction history, digital signatures, and cryptographic commitments. Reviews published in 2023 and 2024 identify transparency, immutability, automation, auditability, and provenance as major reasons for blockchain adoption in food supply chains. At the same time, they identify scalability, interoperability, governance, data quality, cost, and environmental impact as persistent concerns. [1–4]</w:t>
      </w:r>
    </w:p>
    <w:p w14:paraId="1FFB9E6A">
      <w:pPr>
        <w:jc w:val="both"/>
      </w:pPr>
      <w:r>
        <w:rPr>
          <w:rFonts w:ascii="Times New Roman" w:hAnsi="Times New Roman"/>
          <w:b w:val="0"/>
          <w:i w:val="0"/>
          <w:color w:val="000000"/>
        </w:rPr>
        <w:t>The proposed platform is based on the premise that these technologies should not be connected by simply allowing sensors to write data directly to a blockchain or allowing an AI model to automatically declare a shipment safe. Such an architecture would create new problems. High-frequency sensor streams are too large and dynamic for direct ledger storage, while machine-learning outputs require contextual interpretation and should not replace deterministic safety rules. Instead, the platform separates responsibilities: sensing establishes observations; edge computing establishes data quality and low-latency processing; AI estimates future risk; deterministic rules evaluate defined limits; operational databases store detailed telemetry; and blockchain preserves selected evidence and shared governance events.</w:t>
      </w:r>
    </w:p>
    <w:p w14:paraId="23381970">
      <w:pPr>
        <w:jc w:val="both"/>
      </w:pPr>
      <w:r>
        <w:rPr>
          <w:rFonts w:ascii="Times New Roman" w:hAnsi="Times New Roman"/>
          <w:b w:val="0"/>
          <w:i w:val="0"/>
          <w:color w:val="000000"/>
        </w:rPr>
        <w:t>The research objective is therefore to design a software architecture capable of answering five operational questions. First, what is the current physical condition of a product or shipment? Second, what is the likely short-term trajectory of that condition? Third, what is the accumulated exposure history? Fourth, can the recorded evidence be trusted and independently verified? Fifth, what action should be taken when a defined condition is violated or predicted to become critical? The proposed system attempts to answer these questions through a coordinated event-driven architecture rather than through a single application or algorithm.</w:t>
      </w:r>
    </w:p>
    <w:p w14:paraId="6739A934">
      <w:pPr>
        <w:jc w:val="both"/>
        <w:rPr>
          <w:rFonts w:ascii="Times New Roman" w:hAnsi="Times New Roman"/>
          <w:b w:val="0"/>
          <w:i w:val="0"/>
          <w:color w:val="000000"/>
        </w:rPr>
      </w:pPr>
      <w:r>
        <w:rPr>
          <w:rFonts w:ascii="Times New Roman" w:hAnsi="Times New Roman"/>
          <w:b w:val="0"/>
          <w:i w:val="0"/>
          <w:color w:val="000000"/>
        </w:rPr>
        <w:t>The remainder of the paper develops this architecture systematically. Section 2 defines the physical and operational problem, including thermal degradation and traceability requirements. Section 3 surveys research on IoT, edge AI, blockchain, smart contracts, and integrated food traceability. Section 4 presents the comparative literature analysis. Section 5 identifies the major research gaps. Section 6 describes the proposed architecture in detail. Section 7 explains smart-contract governance. Section 8 discusses performance evaluation and simulation. Section 9 addresses compliance and sustainability. Section 10 discusses future research, and Section 11 concludes the study.</w:t>
      </w:r>
    </w:p>
    <w:p w14:paraId="584F6C35">
      <w:pPr>
        <w:rPr>
          <w:rFonts w:ascii="Times New Roman" w:hAnsi="Times New Roman"/>
          <w:b w:val="0"/>
          <w:i w:val="0"/>
          <w:color w:val="000000"/>
        </w:rPr>
      </w:pPr>
      <w:r>
        <w:rPr>
          <w:rFonts w:ascii="Times New Roman" w:hAnsi="Times New Roman"/>
          <w:b w:val="0"/>
          <w:i w:val="0"/>
          <w:color w:val="000000"/>
        </w:rPr>
        <w:br w:type="page"/>
      </w:r>
    </w:p>
    <w:p w14:paraId="1A778422">
      <w:pPr>
        <w:pStyle w:val="2"/>
        <w:jc w:val="both"/>
      </w:pPr>
      <w:r>
        <w:rPr>
          <w:rFonts w:ascii="Times New Roman" w:hAnsi="Times New Roman"/>
          <w:color w:val="000000"/>
        </w:rPr>
        <w:t>2. Background and Industry Problem Definition</w:t>
      </w:r>
    </w:p>
    <w:p w14:paraId="0FC9C918">
      <w:pPr>
        <w:pStyle w:val="3"/>
        <w:jc w:val="both"/>
      </w:pPr>
      <w:r>
        <w:rPr>
          <w:rFonts w:ascii="Times New Roman" w:hAnsi="Times New Roman"/>
          <w:color w:val="000000"/>
        </w:rPr>
        <w:t>2.1 Food Deterioration as a Time-Dependent Process</w:t>
      </w:r>
    </w:p>
    <w:p w14:paraId="3DF86694">
      <w:pPr>
        <w:jc w:val="both"/>
      </w:pPr>
      <w:r>
        <w:rPr>
          <w:rFonts w:ascii="Times New Roman" w:hAnsi="Times New Roman"/>
          <w:b w:val="0"/>
          <w:i w:val="0"/>
          <w:color w:val="000000"/>
        </w:rPr>
        <w:t>Food quality is not a static property. It changes continuously as a consequence of chemical reactions, enzymatic activity, microbial growth, moisture transfer, oxidation, respiration, mechanical damage, and other mechanisms. The relative importance of each mechanism depends on the commodity. Fresh produce, dairy, meat, seafood, frozen products, and processed foods do not respond to temperature and humidity in exactly the same manner. Consequently, a general-purpose monitoring platform should not assume that one universal mathematical model can describe all food products. Instead, the platform should provide a configurable quality model in which product-specific parameters can be associated with a common event and monitoring framework.</w:t>
      </w:r>
    </w:p>
    <w:p w14:paraId="4D51C53B">
      <w:pPr>
        <w:jc w:val="both"/>
      </w:pPr>
      <w:r>
        <w:rPr>
          <w:rFonts w:ascii="Times New Roman" w:hAnsi="Times New Roman"/>
          <w:b w:val="0"/>
          <w:i w:val="0"/>
          <w:color w:val="000000"/>
        </w:rPr>
        <w:t>Temperature is one of the most important environmental variables in many food logistics operations because reaction and microbial growth rates are strongly temperature dependent. A temperature excursion is not necessarily equivalent to immediate spoilage, but it can increase the rate at which quality deteriorates. The significance of an excursion depends on its magnitude, duration, product characteristics, previous exposure, and subsequent recovery. This is why a traceability system should preserve the entire environmental history rather than only recording whether a final threshold was exceeded.</w:t>
      </w:r>
    </w:p>
    <w:p w14:paraId="470B7B34">
      <w:pPr>
        <w:pStyle w:val="3"/>
        <w:jc w:val="both"/>
      </w:pPr>
      <w:r>
        <w:rPr>
          <w:rFonts w:ascii="Times New Roman" w:hAnsi="Times New Roman"/>
          <w:color w:val="000000"/>
        </w:rPr>
        <w:t>2.2 Arrhenius Relationship and Cumulative Thermal Exposure</w:t>
      </w:r>
    </w:p>
    <w:p w14:paraId="2CBCCC71">
      <w:pPr>
        <w:jc w:val="both"/>
      </w:pPr>
      <w:r>
        <w:rPr>
          <w:rFonts w:ascii="Times New Roman" w:hAnsi="Times New Roman"/>
          <w:b w:val="0"/>
          <w:i w:val="0"/>
          <w:color w:val="000000"/>
        </w:rPr>
        <w:t>A common approximation for the temperature dependence of a chemical or deterioration rate is the Arrhenius equation. If k(T) represents the rate constant at absolute temperature T, the relationship can be written as:</w:t>
      </w:r>
    </w:p>
    <w:p w14:paraId="1CE305F0">
      <w:pPr>
        <w:jc w:val="both"/>
      </w:pPr>
      <w:r>
        <w:rPr>
          <w:rFonts w:ascii="Times New Roman" w:hAnsi="Times New Roman"/>
          <w:i/>
          <w:color w:val="000000"/>
        </w:rPr>
        <w:t>k(T) = A exp(−Eₐ / RT)</w:t>
      </w:r>
    </w:p>
    <w:p w14:paraId="2D13FBC6">
      <w:pPr>
        <w:jc w:val="both"/>
      </w:pPr>
      <w:r>
        <w:rPr>
          <w:rFonts w:ascii="Times New Roman" w:hAnsi="Times New Roman"/>
          <w:b w:val="0"/>
          <w:i w:val="0"/>
          <w:color w:val="000000"/>
        </w:rPr>
        <w:t>where A is the pre-exponential factor, Eₐ is the apparent activation energy, R is the universal gas constant, and T is absolute temperature in kelvin. The equation demonstrates that a change in temperature can produce a nonlinear change in reaction rate. For a simplified cumulative model, total deterioration exposure can be represented as:</w:t>
      </w:r>
    </w:p>
    <w:p w14:paraId="4EBAF53E">
      <w:pPr>
        <w:jc w:val="both"/>
      </w:pPr>
      <w:r>
        <w:rPr>
          <w:rFonts w:ascii="Times New Roman" w:hAnsi="Times New Roman"/>
          <w:i/>
          <w:color w:val="000000"/>
        </w:rPr>
        <w:t>D(t) = ∫₀ᵗ k(T(τ)) dτ</w:t>
      </w:r>
    </w:p>
    <w:p w14:paraId="344D0E29">
      <w:pPr>
        <w:jc w:val="both"/>
      </w:pPr>
      <w:r>
        <w:rPr>
          <w:rFonts w:ascii="Times New Roman" w:hAnsi="Times New Roman"/>
          <w:b w:val="0"/>
          <w:i w:val="0"/>
          <w:color w:val="000000"/>
        </w:rPr>
        <w:t>This expression is not a universal shelf-life equation. Its practical use requires product-specific kinetic parameters and a defined quality attribute. In a software system, however, it provides a physically meaningful feature-engineering basis. Instead of feeding raw temperature alone to a model, the system can calculate cumulative thermal exposure, duration above a critical threshold, maximum deviation, average deviation, rate of temperature change, and the number of separate excursions. These variables can improve the interpretability of a prediction because they relate model input to the underlying deterioration process.</w:t>
      </w:r>
    </w:p>
    <w:p w14:paraId="0F361928">
      <w:pPr>
        <w:jc w:val="both"/>
      </w:pPr>
      <w:r>
        <w:rPr>
          <w:rFonts w:ascii="Times New Roman" w:hAnsi="Times New Roman"/>
          <w:b w:val="0"/>
          <w:i w:val="0"/>
          <w:color w:val="000000"/>
        </w:rPr>
        <w:t>For a discrete sensor sequence, a numerical approximation can be written as:</w:t>
      </w:r>
    </w:p>
    <w:p w14:paraId="4DEFF626">
      <w:pPr>
        <w:jc w:val="both"/>
      </w:pPr>
      <w:r>
        <w:rPr>
          <w:rFonts w:ascii="Times New Roman" w:hAnsi="Times New Roman"/>
          <w:i/>
          <w:color w:val="000000"/>
        </w:rPr>
        <w:t>Dₙ ≈ Σᵢ k(Tᵢ) Δtᵢ</w:t>
      </w:r>
    </w:p>
    <w:p w14:paraId="18F131C7">
      <w:pPr>
        <w:jc w:val="both"/>
      </w:pPr>
      <w:r>
        <w:rPr>
          <w:rFonts w:ascii="Times New Roman" w:hAnsi="Times New Roman"/>
          <w:b w:val="0"/>
          <w:i w:val="0"/>
          <w:color w:val="000000"/>
        </w:rPr>
        <w:t>This feature can be calculated at the edge. The gateway does not need to know the final outcome of the shipment; it only maintains the accumulated exposure estimate and forwards relevant summaries to the application layer. The feature can then be combined with humidity, product age, and handling events. If the product-specific kinetic parameters are unavailable, the platform can retain simpler exposure features and use the Arrhenius formulation only where validated parameters exist.</w:t>
      </w:r>
    </w:p>
    <w:p w14:paraId="271125F3">
      <w:pPr>
        <w:pStyle w:val="3"/>
        <w:jc w:val="both"/>
      </w:pPr>
      <w:r>
        <w:rPr>
          <w:rFonts w:ascii="Times New Roman" w:hAnsi="Times New Roman"/>
          <w:color w:val="000000"/>
        </w:rPr>
        <w:t>2.3 Relative Humidity and Moisture Exposure</w:t>
      </w:r>
    </w:p>
    <w:p w14:paraId="07512F0E">
      <w:pPr>
        <w:jc w:val="both"/>
      </w:pPr>
      <w:r>
        <w:rPr>
          <w:rFonts w:ascii="Times New Roman" w:hAnsi="Times New Roman"/>
          <w:b w:val="0"/>
          <w:i w:val="0"/>
          <w:color w:val="000000"/>
        </w:rPr>
        <w:t>Relative humidity can affect food through moisture transfer, condensation, microbial growth, texture change, packaging interactions, and surface conditions. Its effect is often nonlinear and product-dependent. For this reason, the proposed system stores raw humidity measurements while allowing a product profile to define the operational interpretation. A humidity deviation feature can be represented conceptually as:</w:t>
      </w:r>
    </w:p>
    <w:p w14:paraId="326E06D8">
      <w:pPr>
        <w:jc w:val="both"/>
      </w:pPr>
      <w:r>
        <w:rPr>
          <w:rFonts w:ascii="Times New Roman" w:hAnsi="Times New Roman"/>
          <w:i/>
          <w:color w:val="000000"/>
        </w:rPr>
        <w:t>Hₑₓₚ = Σᵢ max(0, RHᵢ − RHₘₐₓ) Δtᵢ</w:t>
      </w:r>
    </w:p>
    <w:p w14:paraId="71233D45">
      <w:pPr>
        <w:jc w:val="both"/>
      </w:pPr>
      <w:r>
        <w:rPr>
          <w:rFonts w:ascii="Times New Roman" w:hAnsi="Times New Roman"/>
          <w:b w:val="0"/>
          <w:i w:val="0"/>
          <w:color w:val="000000"/>
        </w:rPr>
        <w:t>The expression is illustrative rather than regulatory. It allows the software to quantify cumulative time outside an acceptable humidity region. More sophisticated models can incorporate water activity and product-specific sorption characteristics when these measurements are available.</w:t>
      </w:r>
    </w:p>
    <w:p w14:paraId="4A075C69">
      <w:pPr>
        <w:pStyle w:val="3"/>
        <w:jc w:val="both"/>
      </w:pPr>
      <w:r>
        <w:rPr>
          <w:rFonts w:ascii="Times New Roman" w:hAnsi="Times New Roman"/>
          <w:color w:val="000000"/>
        </w:rPr>
        <w:t>2.4 Cold-Chain Failure Modes</w:t>
      </w:r>
    </w:p>
    <w:p w14:paraId="11E66ECC">
      <w:pPr>
        <w:jc w:val="both"/>
      </w:pPr>
      <w:r>
        <w:rPr>
          <w:rFonts w:ascii="Times New Roman" w:hAnsi="Times New Roman"/>
          <w:b w:val="0"/>
          <w:i w:val="0"/>
          <w:color w:val="000000"/>
        </w:rPr>
        <w:t>Cold-chain failures occur for many reasons. Refrigeration equipment may lose capacity, doors may remain open during loading, vehicles may be delayed, containers may be poorly insulated, sensors may drift, batteries may fail, network connectivity may disappear, or staff may manually override a control. These causes have different signatures. A compressor failure may produce a gradual temperature rise; a door opening may create a short disturbance followed by recovery; a sensor failure may produce a physically impossible jump; and a network outage may produce missing data without any physical change. A useful monitoring platform must therefore distinguish physical events from data-quality events.</w:t>
      </w:r>
    </w:p>
    <w:p w14:paraId="72191E20">
      <w:pPr>
        <w:jc w:val="both"/>
      </w:pPr>
      <w:r>
        <w:rPr>
          <w:rFonts w:ascii="Times New Roman" w:hAnsi="Times New Roman"/>
          <w:b w:val="0"/>
          <w:i w:val="0"/>
          <w:color w:val="000000"/>
        </w:rPr>
        <w:t>The distinction between an environmental anomaly and a sensor anomaly is critical. If a temperature suddenly changes from 4 °C to 40 °C and returns to 4 °C within one minute, the event may be caused by sensor failure rather than a real cargo condition. The edge gateway can compare the rate of change against physical constraints, compare neighboring sensors, inspect device health, and flag the observation for review. The raw value should not simply be deleted because deletion would destroy evidence. Instead, the measurement can be retained with a quality flag that indicates that it was considered unreliable for automated decision-making.</w:t>
      </w:r>
    </w:p>
    <w:p w14:paraId="01F28172">
      <w:pPr>
        <w:pStyle w:val="3"/>
        <w:jc w:val="both"/>
      </w:pPr>
      <w:r>
        <w:rPr>
          <w:rFonts w:ascii="Times New Roman" w:hAnsi="Times New Roman"/>
          <w:color w:val="000000"/>
        </w:rPr>
        <w:t>2.5 Traceability and Recall Requirements</w:t>
      </w:r>
    </w:p>
    <w:p w14:paraId="2EBB344F">
      <w:pPr>
        <w:jc w:val="both"/>
      </w:pPr>
      <w:r>
        <w:rPr>
          <w:rFonts w:ascii="Times New Roman" w:hAnsi="Times New Roman"/>
          <w:b w:val="0"/>
          <w:i w:val="0"/>
          <w:color w:val="000000"/>
        </w:rPr>
        <w:t>Traceability requires more than a product identifier. A complete digital representation should contain product identity, lot or batch identity, origin, processing events, packaging events, custody transitions, storage locations, transport events, environmental observations, inspections, laboratory results where applicable, and disposition decisions. The data model should also preserve the relationship between parent and child lots when materials are combined or transformed. This is important because a recall can propagate through a transformation chain. A contaminated raw-material lot may be incorporated into multiple finished-product batches, requiring the system to identify all affected descendants.</w:t>
      </w:r>
    </w:p>
    <w:p w14:paraId="23C2C5F7">
      <w:pPr>
        <w:jc w:val="both"/>
      </w:pPr>
      <w:r>
        <w:rPr>
          <w:rFonts w:ascii="Times New Roman" w:hAnsi="Times New Roman"/>
          <w:b w:val="0"/>
          <w:i w:val="0"/>
          <w:color w:val="000000"/>
        </w:rPr>
        <w:t>The software should therefore model the supply chain as an event graph. Each event has an event type, subject identifier, actor, timestamp, location, evidence reference, and status. Examples include PRODUCTION_COMPLETED, PACKED, LOADED, CUSTODY_TRANSFERRED, STORAGE_ENTERED, TEMPERATURE_WARNING, TEMPERATURE_CRITICAL, INSPECTION_COMPLETED, CORRECTIVE_ACTION_OPENED, CORRECTIVE_ACTION_APPROVED, and RECALL_INITIATED. Such an event model is more flexible than a single shipment table because it can represent complex operational histories and new event types without redesigning the entire database.</w:t>
      </w:r>
    </w:p>
    <w:p w14:paraId="11A695CE">
      <w:pPr>
        <w:pStyle w:val="3"/>
        <w:jc w:val="both"/>
      </w:pPr>
      <w:r>
        <w:rPr>
          <w:rFonts w:ascii="Times New Roman" w:hAnsi="Times New Roman"/>
          <w:color w:val="000000"/>
        </w:rPr>
        <w:t>2.6 Software Engineering Requirements</w:t>
      </w:r>
    </w:p>
    <w:p w14:paraId="1FDEC2AC">
      <w:pPr>
        <w:jc w:val="both"/>
      </w:pPr>
      <w:r>
        <w:rPr>
          <w:rFonts w:ascii="Times New Roman" w:hAnsi="Times New Roman"/>
          <w:b w:val="0"/>
          <w:i w:val="0"/>
          <w:color w:val="000000"/>
        </w:rPr>
        <w:t>The proposed system has functional requirements and non-functional requirements. Functional requirements include device registration, product registration, shipment creation, real-time monitoring, predictive risk estimation, alerts, custody management, audit history, compliance reports, recall tracing, and cold-storage analytics. Non-functional requirements include availability, security, scalability, interoperability, maintainability, observability, recoverability, and controlled latency. Because the system combines physical and digital components, fault tolerance is particularly important. A network outage should not make the monitoring function unusable, and a temporary cloud outage should not erase local observations.</w:t>
      </w:r>
    </w:p>
    <w:p w14:paraId="1C8E20E7">
      <w:pPr>
        <w:jc w:val="both"/>
      </w:pPr>
      <w:r>
        <w:rPr>
          <w:rFonts w:ascii="Times New Roman" w:hAnsi="Times New Roman"/>
          <w:b w:val="0"/>
          <w:i w:val="0"/>
          <w:color w:val="000000"/>
        </w:rPr>
        <w:t>The system also requires explicit data ownership. The producer may own production records, the logistics operator may own transport telemetry, and the regulator may require access to defined compliance evidence. A centralized database can technically store all information but may not be organizationally acceptable. The hybrid ledger therefore serves as a shared evidence layer while preserving private operational data in appropriate stores.</w:t>
      </w:r>
    </w:p>
    <w:p w14:paraId="2A4F2301">
      <w:pPr>
        <w:rPr>
          <w:rFonts w:ascii="Times New Roman" w:hAnsi="Times New Roman"/>
          <w:color w:val="000000"/>
        </w:rPr>
      </w:pPr>
      <w:r>
        <w:rPr>
          <w:rFonts w:ascii="Times New Roman" w:hAnsi="Times New Roman"/>
          <w:color w:val="000000"/>
        </w:rPr>
        <w:br w:type="page"/>
      </w:r>
    </w:p>
    <w:p w14:paraId="15BAC931">
      <w:pPr>
        <w:pStyle w:val="2"/>
        <w:jc w:val="both"/>
      </w:pPr>
      <w:r>
        <w:rPr>
          <w:rFonts w:ascii="Times New Roman" w:hAnsi="Times New Roman"/>
          <w:color w:val="000000"/>
        </w:rPr>
        <w:t>3. Comprehensive Literature Survey</w:t>
      </w:r>
    </w:p>
    <w:p w14:paraId="2C54EB1C">
      <w:pPr>
        <w:pStyle w:val="3"/>
        <w:jc w:val="both"/>
      </w:pPr>
      <w:r>
        <w:rPr>
          <w:rFonts w:ascii="Times New Roman" w:hAnsi="Times New Roman"/>
          <w:color w:val="000000"/>
        </w:rPr>
        <w:t>3.1 Evolution from Manual Traceability to Digital Traceability</w:t>
      </w:r>
    </w:p>
    <w:p w14:paraId="06E17B86">
      <w:pPr>
        <w:jc w:val="both"/>
      </w:pPr>
      <w:r>
        <w:rPr>
          <w:rFonts w:ascii="Times New Roman" w:hAnsi="Times New Roman"/>
          <w:b w:val="0"/>
          <w:i w:val="0"/>
          <w:color w:val="000000"/>
        </w:rPr>
        <w:t>The early foundation of food traceability was primarily documentary. Batch numbers, paper forms, invoices, inspection reports, and manual logs allowed organizations to reconstruct limited portions of product movement. These approaches remain operationally relevant, but they are slow to aggregate and difficult to synchronize across organizations. Digital enterprise systems improved transaction processing but did not automatically solve cross-enterprise interoperability. The current literature therefore treats traceability as an information-sharing problem in addition to an identification problem.</w:t>
      </w:r>
    </w:p>
    <w:p w14:paraId="05EC73A3">
      <w:pPr>
        <w:jc w:val="both"/>
      </w:pPr>
      <w:r>
        <w:rPr>
          <w:rFonts w:ascii="Times New Roman" w:hAnsi="Times New Roman"/>
          <w:b w:val="0"/>
          <w:i w:val="0"/>
          <w:color w:val="000000"/>
        </w:rPr>
        <w:t>The systematic review by Ellahi, Wood, and Bekhit identifies a broad transition toward blockchain-based food traceability and notes that blockchain is increasingly combined with Industry 4.0 technologies such as IoT, RFID, AI, cloud computing, and big-data analytics. Importantly, the review also notes that the integration of these technologies remains incomplete. AI and advanced analytics are less consistently represented than blockchain, IoT, RFID, QR, and GPS in the surveyed frameworks. [1] This observation directly supports the motivation for a system in which prediction is a first-class architectural component rather than an optional analytics layer.</w:t>
      </w:r>
    </w:p>
    <w:p w14:paraId="314F54A2">
      <w:pPr>
        <w:pStyle w:val="3"/>
        <w:jc w:val="both"/>
      </w:pPr>
      <w:r>
        <w:rPr>
          <w:rFonts w:ascii="Times New Roman" w:hAnsi="Times New Roman"/>
          <w:color w:val="000000"/>
        </w:rPr>
        <w:t>3.2 IoT-Based Environmental Monitoring</w:t>
      </w:r>
    </w:p>
    <w:p w14:paraId="40506FAB">
      <w:pPr>
        <w:jc w:val="both"/>
      </w:pPr>
      <w:r>
        <w:rPr>
          <w:rFonts w:ascii="Times New Roman" w:hAnsi="Times New Roman"/>
          <w:b w:val="0"/>
          <w:i w:val="0"/>
          <w:color w:val="000000"/>
        </w:rPr>
        <w:t>IoT is the physical observation layer of a smart supply chain. Temperature and humidity sensors can be deployed in storage rooms, refrigerated vehicles, containers, and packages. A gateway aggregates readings and forwards them through MQTT, HTTP, cellular, Wi-Fi, or other protocols. RFID and QR codes can connect the physical item to its digital identity. GPS provides location context, while door sensors can explain sudden thermal disturbances. The literature generally agrees that continuous sensing provides information that manual inspection cannot provide at comparable temporal resolution.</w:t>
      </w:r>
    </w:p>
    <w:p w14:paraId="7A17EC12">
      <w:pPr>
        <w:jc w:val="both"/>
      </w:pPr>
      <w:r>
        <w:rPr>
          <w:rFonts w:ascii="Times New Roman" w:hAnsi="Times New Roman"/>
          <w:b w:val="0"/>
          <w:i w:val="0"/>
          <w:color w:val="000000"/>
        </w:rPr>
        <w:t>A significant engineering challenge is that sensor data are not automatically reliable. Sensors have finite accuracy, calibration drift, battery constraints, communication failures, and environmental sensitivity. Therefore, the monitoring layer must be designed as a data-quality system. Device registration should include calibration information, and the gateway should validate ranges and sequence continuity. A measurement should carry provenance attributes such as device ID, firmware version, timestamp source, calibration state, and gateway identity.</w:t>
      </w:r>
    </w:p>
    <w:p w14:paraId="2E41E5A6">
      <w:pPr>
        <w:jc w:val="both"/>
      </w:pPr>
      <w:r>
        <w:rPr>
          <w:rFonts w:ascii="Times New Roman" w:hAnsi="Times New Roman"/>
          <w:b w:val="0"/>
          <w:i w:val="0"/>
          <w:color w:val="000000"/>
        </w:rPr>
        <w:t>The combination of IoT and blockchain has received substantial attention. Reviews report that IoT enables automated real-time data acquisition while blockchain can preserve evidence and make traceability records more transparent. [1,2,3] The conceptual limitation is that blockchain cannot correct a faulty sensor. Immutability is a property of the record, not proof of the physical truth of the measurement. This leads to a major architectural requirement: data-quality controls must occur before evidence is committed to a shared ledger.</w:t>
      </w:r>
    </w:p>
    <w:p w14:paraId="2B428FF2">
      <w:pPr>
        <w:pStyle w:val="3"/>
        <w:jc w:val="both"/>
      </w:pPr>
      <w:r>
        <w:rPr>
          <w:rFonts w:ascii="Times New Roman" w:hAnsi="Times New Roman"/>
          <w:color w:val="000000"/>
        </w:rPr>
        <w:t>3.3 Edge Computing for Cold-Chain Systems</w:t>
      </w:r>
    </w:p>
    <w:p w14:paraId="64AA1A22">
      <w:pPr>
        <w:jc w:val="both"/>
      </w:pPr>
      <w:r>
        <w:rPr>
          <w:rFonts w:ascii="Times New Roman" w:hAnsi="Times New Roman"/>
          <w:b w:val="0"/>
          <w:i w:val="0"/>
          <w:color w:val="000000"/>
        </w:rPr>
        <w:t>Cloud computing is useful for long-term storage and centralized analytics, but a food logistics system cannot always depend on uninterrupted network access. Refrigerated vehicles may pass through areas with poor connectivity, warehouses may have local network failures, and a compliance alert may need to be generated within seconds. Edge computing addresses these conditions by placing computation near the data source. The edge gateway can perform validation, aggregation, local storage, feature extraction, and inference without sending every observation to a remote service.</w:t>
      </w:r>
    </w:p>
    <w:p w14:paraId="7757A73A">
      <w:pPr>
        <w:jc w:val="both"/>
      </w:pPr>
      <w:r>
        <w:rPr>
          <w:rFonts w:ascii="Times New Roman" w:hAnsi="Times New Roman"/>
          <w:b w:val="0"/>
          <w:i w:val="0"/>
          <w:color w:val="000000"/>
        </w:rPr>
        <w:t>Edge processing also supports data minimization. A system may collect measurements every ten seconds, but only a subset of those observations may be necessary for shared governance. The edge can create one-minute or five-minute evidence windows, compute exposure summaries, and generate cryptographic commitments. The raw data can remain in a time-series database while the ledger receives a compact event. This architecture reduces bandwidth and ledger growth while retaining the ability to verify the original evidence later.</w:t>
      </w:r>
    </w:p>
    <w:p w14:paraId="21D552C0">
      <w:pPr>
        <w:pStyle w:val="3"/>
        <w:jc w:val="both"/>
      </w:pPr>
      <w:r>
        <w:rPr>
          <w:rFonts w:ascii="Times New Roman" w:hAnsi="Times New Roman"/>
          <w:color w:val="000000"/>
        </w:rPr>
        <w:t>3.4 LSTM and Bi-LSTM for Environmental Prediction</w:t>
      </w:r>
    </w:p>
    <w:p w14:paraId="74F50C41">
      <w:pPr>
        <w:jc w:val="both"/>
      </w:pPr>
      <w:r>
        <w:rPr>
          <w:rFonts w:ascii="Times New Roman" w:hAnsi="Times New Roman"/>
          <w:b w:val="0"/>
          <w:i w:val="0"/>
          <w:color w:val="000000"/>
        </w:rPr>
        <w:t>Temperature and humidity sequences are not independent observations. The current value is influenced by recent history, equipment cycling, door activity, ambient conditions, and the thermal mass of the cargo. Recurrent neural networks are therefore appropriate candidates for temporal prediction. LSTM networks use memory cells and gating mechanisms to retain relevant information over a sequence. A typical LSTM cell can be represented through input, forget, and output gates, allowing the network to learn which historical information should be retained.</w:t>
      </w:r>
    </w:p>
    <w:p w14:paraId="2711276D">
      <w:pPr>
        <w:jc w:val="both"/>
      </w:pPr>
      <w:r>
        <w:rPr>
          <w:rFonts w:ascii="Times New Roman" w:hAnsi="Times New Roman"/>
          <w:i/>
          <w:color w:val="000000"/>
        </w:rPr>
        <w:t>fₜ = σ(W_f xₜ + U_f hₜ₋₁ + b_f)</w:t>
      </w:r>
    </w:p>
    <w:p w14:paraId="11D40D41">
      <w:pPr>
        <w:jc w:val="both"/>
      </w:pPr>
      <w:r>
        <w:rPr>
          <w:rFonts w:ascii="Times New Roman" w:hAnsi="Times New Roman"/>
          <w:i/>
          <w:color w:val="000000"/>
        </w:rPr>
        <w:t>iₜ = σ(W_i xₜ + U_i hₜ₋₁ + b_i)</w:t>
      </w:r>
    </w:p>
    <w:p w14:paraId="326F1381">
      <w:pPr>
        <w:jc w:val="both"/>
      </w:pPr>
      <w:r>
        <w:rPr>
          <w:rFonts w:ascii="Times New Roman" w:hAnsi="Times New Roman"/>
          <w:i/>
          <w:color w:val="000000"/>
        </w:rPr>
        <w:t>oₜ = σ(W_o xₜ + U_o hₜ₋₁ + b_o)</w:t>
      </w:r>
    </w:p>
    <w:p w14:paraId="33ACADFE">
      <w:pPr>
        <w:jc w:val="both"/>
      </w:pPr>
      <w:r>
        <w:rPr>
          <w:rFonts w:ascii="Times New Roman" w:hAnsi="Times New Roman"/>
          <w:i/>
          <w:color w:val="000000"/>
        </w:rPr>
        <w:t>cₜ = fₜ ⊙ cₜ₋₁ + iₜ ⊙ tanh(W_c xₜ + U_c hₜ₋₁ + b_c)</w:t>
      </w:r>
    </w:p>
    <w:p w14:paraId="7C7412DE">
      <w:pPr>
        <w:jc w:val="both"/>
      </w:pPr>
      <w:r>
        <w:rPr>
          <w:rFonts w:ascii="Times New Roman" w:hAnsi="Times New Roman"/>
          <w:i/>
          <w:color w:val="000000"/>
        </w:rPr>
        <w:t>hₜ = oₜ ⊙ tanh(cₜ)</w:t>
      </w:r>
    </w:p>
    <w:p w14:paraId="3A2BC738">
      <w:pPr>
        <w:jc w:val="both"/>
      </w:pPr>
      <w:r>
        <w:rPr>
          <w:rFonts w:ascii="Times New Roman" w:hAnsi="Times New Roman"/>
          <w:b w:val="0"/>
          <w:i w:val="0"/>
          <w:color w:val="000000"/>
        </w:rPr>
        <w:t>A Bi-LSTM contains forward and backward recurrent representations during training, allowing the learned representation of an input window to capture dependencies across the full window. For a real-time system, the model receives a completed historical window; it does not access future physical observations. This distinction prevents leakage between training and deployment. The model can produce a short-horizon trajectory, such as the expected temperature over the next 5, 10, or 15 minutes, along with a risk estimate.</w:t>
      </w:r>
    </w:p>
    <w:p w14:paraId="46B1D340">
      <w:pPr>
        <w:jc w:val="both"/>
      </w:pPr>
      <w:r>
        <w:rPr>
          <w:rFonts w:ascii="Times New Roman" w:hAnsi="Times New Roman"/>
          <w:b w:val="0"/>
          <w:i w:val="0"/>
          <w:color w:val="000000"/>
        </w:rPr>
        <w:t>The principal value of the model is lead time. A threshold system reacts after a limit is crossed. A predictive system can issue an earlier warning if the trajectory indicates that the limit is likely to be crossed. The operational decision can then be based on both current condition and predicted trajectory. However, prediction errors are unavoidable. The model must therefore be evaluated for false positives, false negatives, calibration, and robustness to distribution shifts rather than only average forecasting error.</w:t>
      </w:r>
    </w:p>
    <w:p w14:paraId="2F477219">
      <w:pPr>
        <w:pStyle w:val="3"/>
        <w:jc w:val="both"/>
      </w:pPr>
      <w:r>
        <w:rPr>
          <w:rFonts w:ascii="Times New Roman" w:hAnsi="Times New Roman"/>
          <w:color w:val="000000"/>
        </w:rPr>
        <w:t>3.5 Blockchain for Food Traceability</w:t>
      </w:r>
    </w:p>
    <w:p w14:paraId="4476A318">
      <w:pPr>
        <w:jc w:val="both"/>
      </w:pPr>
      <w:r>
        <w:rPr>
          <w:rFonts w:ascii="Times New Roman" w:hAnsi="Times New Roman"/>
          <w:b w:val="0"/>
          <w:i w:val="0"/>
          <w:color w:val="000000"/>
        </w:rPr>
        <w:t>Blockchain research in food traceability has expanded rapidly. Ellahi et al. describe blockchain as a mechanism that can improve verifiability, auditability, accountability, transparency, monitoring, response times, and provenance. [1] Pakseresht et al. identify transparency, immutability, redundancy, versatility, and automation as important characteristics in agri-food applications, while emphasizing the need for further technical and environmental research. [4] Yu, Zhang, and Mujumdar specifically examine blockchain-based fresh-food quality traceability and dynamic monitoring and identify both the potential and the unresolved implementation dilemmas. [3]</w:t>
      </w:r>
    </w:p>
    <w:p w14:paraId="5692D64E">
      <w:pPr>
        <w:jc w:val="both"/>
      </w:pPr>
      <w:r>
        <w:rPr>
          <w:rFonts w:ascii="Times New Roman" w:hAnsi="Times New Roman"/>
          <w:b w:val="0"/>
          <w:i w:val="0"/>
          <w:color w:val="000000"/>
        </w:rPr>
        <w:t>A blockchain network can establish a shared history of transactions, but its design must match the business environment. Public blockchains provide broad participation but may introduce cost, privacy, throughput, and governance concerns. Permissioned blockchains allow known organizations to operate nodes and define access rules. For food supply chains involving producers, processors, logistics companies, warehouses, retailers, auditors, and regulators, a permissioned model is often more compatible with organizational accountability. The platform proposed in this paper therefore uses a permissioned ledger as the primary evidence layer.</w:t>
      </w:r>
    </w:p>
    <w:p w14:paraId="224BD55C">
      <w:pPr>
        <w:pStyle w:val="3"/>
        <w:jc w:val="both"/>
      </w:pPr>
      <w:r>
        <w:rPr>
          <w:rFonts w:ascii="Times New Roman" w:hAnsi="Times New Roman"/>
          <w:color w:val="000000"/>
        </w:rPr>
        <w:t>3.6 Hybrid On-Chain and Off-Chain Storage</w:t>
      </w:r>
    </w:p>
    <w:p w14:paraId="6D7565AB">
      <w:pPr>
        <w:jc w:val="both"/>
      </w:pPr>
      <w:r>
        <w:rPr>
          <w:rFonts w:ascii="Times New Roman" w:hAnsi="Times New Roman"/>
          <w:b w:val="0"/>
          <w:i w:val="0"/>
          <w:color w:val="000000"/>
        </w:rPr>
        <w:t>One of the most important architectural decisions is what should be written to the blockchain. A sensor generating one measurement every ten seconds produces 8,640 readings per day. A fleet of 10,000 monitored units would therefore produce more than 86 million readings per day before accounting for additional variables. Directly replicating such data across blockchain nodes is impractical. The appropriate design is to store detailed telemetry off-chain and store evidence commitments on-chain.</w:t>
      </w:r>
    </w:p>
    <w:p w14:paraId="05B38BED">
      <w:pPr>
        <w:jc w:val="both"/>
      </w:pPr>
      <w:r>
        <w:rPr>
          <w:rFonts w:ascii="Times New Roman" w:hAnsi="Times New Roman"/>
          <w:b w:val="0"/>
          <w:i w:val="0"/>
          <w:color w:val="000000"/>
        </w:rPr>
        <w:t>Suppose a sensor window contains measurements E = {e₁, e₂, …, eₙ}. The system can compute a hash or Merkle root M(E). The ledger stores the shipment identifier, window start and end time, device identifiers, summary statistics, and M(E). If an auditor later receives the raw data, the auditor can independently calculate the digest and compare it with the ledger. This creates tamper evidence without forcing the ledger to contain every measurement.</w:t>
      </w:r>
    </w:p>
    <w:p w14:paraId="240EBD7C">
      <w:pPr>
        <w:pStyle w:val="3"/>
        <w:jc w:val="both"/>
      </w:pPr>
      <w:r>
        <w:rPr>
          <w:rFonts w:ascii="Times New Roman" w:hAnsi="Times New Roman"/>
          <w:color w:val="000000"/>
        </w:rPr>
        <w:t>3.7 Smart Contracts</w:t>
      </w:r>
    </w:p>
    <w:p w14:paraId="0B64CB8E">
      <w:pPr>
        <w:jc w:val="both"/>
      </w:pPr>
      <w:r>
        <w:rPr>
          <w:rFonts w:ascii="Times New Roman" w:hAnsi="Times New Roman"/>
          <w:b w:val="0"/>
          <w:i w:val="0"/>
          <w:color w:val="000000"/>
        </w:rPr>
        <w:t>Smart contracts automate deterministic business rules. A contract can register a product, record a custody transfer, require an inspection, create a quality exception, or prevent a shipment from returning to a compliant state without authorized approval. Smart contracts are particularly useful when multiple organizations need a common interpretation of an event. Recent conceptual work on frozen-food logistics proposes IoT acquisition, permissioned blockchain storage, and smart-contract-driven compliance automation, illustrating a research direction closely aligned with the proposed architecture. [12]</w:t>
      </w:r>
    </w:p>
    <w:p w14:paraId="21113681">
      <w:pPr>
        <w:jc w:val="both"/>
      </w:pPr>
      <w:r>
        <w:rPr>
          <w:rFonts w:ascii="Times New Roman" w:hAnsi="Times New Roman"/>
          <w:b w:val="0"/>
          <w:i w:val="0"/>
          <w:color w:val="000000"/>
        </w:rPr>
        <w:t>The limitation is that smart contracts cannot directly understand physical reality. They depend on trusted inputs. The proposed design therefore places an authenticated edge and application service between physical measurements and contract transactions. The contract verifies identity, authorization, timestamp, evidence commitment, and rule result. It does not calculate a Bi-LSTM prediction or interpret raw sensor noise.</w:t>
      </w:r>
    </w:p>
    <w:p w14:paraId="2A683AED">
      <w:pPr>
        <w:pStyle w:val="3"/>
        <w:jc w:val="both"/>
      </w:pPr>
      <w:r>
        <w:rPr>
          <w:rFonts w:ascii="Times New Roman" w:hAnsi="Times New Roman"/>
          <w:color w:val="000000"/>
        </w:rPr>
        <w:t>3.8 AI, IoT, and Blockchain Integration</w:t>
      </w:r>
    </w:p>
    <w:p w14:paraId="275C71BF">
      <w:pPr>
        <w:jc w:val="both"/>
      </w:pPr>
      <w:r>
        <w:rPr>
          <w:rFonts w:ascii="Times New Roman" w:hAnsi="Times New Roman"/>
          <w:b w:val="0"/>
          <w:i w:val="0"/>
          <w:color w:val="000000"/>
        </w:rPr>
        <w:t>A 2025 review of AI integration for food authenticity and traceability explicitly proposes an AI-IoT-blockchain framework in which IoT supports real-time data acquisition, AI analyzes sensor and detection data, and blockchain supports data integrity and transparent exchange. [13] A 2025 research article similarly reports an integrated AI, IoT, and blockchain approach for perishable logistics, describing predictive anomaly detection and smart-contract responses. [14] These studies show that the research field is moving toward integrated architectures. The remaining challenge is to make the architecture sufficiently precise that responsibilities, data flows, failure modes, and evaluation metrics are explicit.</w:t>
      </w:r>
    </w:p>
    <w:p w14:paraId="0C0BFC85">
      <w:pPr>
        <w:pStyle w:val="3"/>
        <w:jc w:val="both"/>
      </w:pPr>
      <w:r>
        <w:rPr>
          <w:rFonts w:ascii="Times New Roman" w:hAnsi="Times New Roman"/>
          <w:color w:val="000000"/>
        </w:rPr>
        <w:t>3.9 Digital Twins and Predictive Shelf-Life</w:t>
      </w:r>
    </w:p>
    <w:p w14:paraId="59E80A39">
      <w:pPr>
        <w:jc w:val="both"/>
      </w:pPr>
      <w:r>
        <w:rPr>
          <w:rFonts w:ascii="Times New Roman" w:hAnsi="Times New Roman"/>
          <w:b w:val="0"/>
          <w:i w:val="0"/>
          <w:color w:val="000000"/>
        </w:rPr>
        <w:t>Digital twins provide another emerging direction. A digital twin can represent the state of a refrigerated asset, storage environment, or product and update that representation from real observations. Recent work has combined temperature prediction with kinetic quality-loss estimation for fruit supply chains. [15] The benefit of such an approach is that a model can combine physical knowledge with data-driven prediction. Rather than predicting a generic risk score, the system can estimate how environmental exposure affects a product-specific quality state. The proposed architecture is compatible with this extension but retains the simpler Bi-LSTM inference layer for the initial implementation.</w:t>
      </w:r>
    </w:p>
    <w:p w14:paraId="3F8EDD8C">
      <w:pPr>
        <w:pStyle w:val="3"/>
        <w:jc w:val="both"/>
      </w:pPr>
      <w:r>
        <w:rPr>
          <w:rFonts w:ascii="Times New Roman" w:hAnsi="Times New Roman"/>
          <w:color w:val="000000"/>
        </w:rPr>
        <w:t>3.10 Current Limitations of the Literature</w:t>
      </w:r>
    </w:p>
    <w:p w14:paraId="06706EDA">
      <w:pPr>
        <w:jc w:val="both"/>
      </w:pPr>
      <w:r>
        <w:rPr>
          <w:rFonts w:ascii="Times New Roman" w:hAnsi="Times New Roman"/>
          <w:b w:val="0"/>
          <w:i w:val="0"/>
          <w:color w:val="000000"/>
        </w:rPr>
        <w:t>The literature contains many conceptual frameworks but fewer large-scale field evaluations. Many studies demonstrate a prototype using a limited number of sensors and a small dataset. Model performance is often reported without measuring the complete operational workflow. Blockchain studies frequently demonstrate immutability and traceability but do not quantify sensor reliability or prediction accuracy. AI studies may report high prediction accuracy without explaining how the output is incorporated into regulatory governance. These fragmented evaluations create a clear opportunity for a software engineering study that measures the entire pipeline.</w:t>
      </w:r>
    </w:p>
    <w:p w14:paraId="733D3D64">
      <w:pPr>
        <w:rPr>
          <w:rFonts w:ascii="Times New Roman" w:hAnsi="Times New Roman"/>
          <w:color w:val="000000"/>
        </w:rPr>
      </w:pPr>
      <w:r>
        <w:rPr>
          <w:rFonts w:ascii="Times New Roman" w:hAnsi="Times New Roman"/>
          <w:color w:val="000000"/>
        </w:rPr>
        <w:br w:type="page"/>
      </w:r>
    </w:p>
    <w:p w14:paraId="29C656DD">
      <w:pPr>
        <w:pStyle w:val="2"/>
        <w:jc w:val="both"/>
      </w:pPr>
      <w:r>
        <w:rPr>
          <w:rFonts w:ascii="Times New Roman" w:hAnsi="Times New Roman"/>
          <w:color w:val="000000"/>
        </w:rPr>
        <w:t>4. Comparative Literature Analysis</w:t>
      </w:r>
    </w:p>
    <w:p w14:paraId="6978A71D">
      <w:pPr>
        <w:jc w:val="both"/>
      </w:pPr>
      <w:r>
        <w:rPr>
          <w:rFonts w:ascii="Times New Roman" w:hAnsi="Times New Roman"/>
          <w:b w:val="0"/>
          <w:i w:val="0"/>
          <w:color w:val="000000"/>
        </w:rPr>
        <w:t>Table 1 presents a structured comparison of recent literature. The table intentionally focuses on studies that contribute directly to one or more components of the proposed platform. The objective is not to rank the papers but to identify the specific capability contributed by each study and the integration problem that remains unresolved.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608"/>
        <w:gridCol w:w="1608"/>
        <w:gridCol w:w="1608"/>
        <w:gridCol w:w="1608"/>
        <w:gridCol w:w="1608"/>
      </w:tblGrid>
      <w:tr w14:paraId="55F5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tcPr>
          <w:p w14:paraId="546BCD67">
            <w:pPr>
              <w:jc w:val="both"/>
            </w:pPr>
            <w:r>
              <w:rPr>
                <w:b/>
                <w:color w:val="000000"/>
                <w:sz w:val="16"/>
              </w:rPr>
              <w:t>Author/Year</w:t>
            </w:r>
          </w:p>
        </w:tc>
        <w:tc>
          <w:tcPr>
            <w:tcW w:w="1608" w:type="dxa"/>
          </w:tcPr>
          <w:p w14:paraId="5BC0A412">
            <w:pPr>
              <w:jc w:val="both"/>
            </w:pPr>
            <w:r>
              <w:rPr>
                <w:b/>
                <w:color w:val="000000"/>
                <w:sz w:val="16"/>
              </w:rPr>
              <w:t>Research Problem</w:t>
            </w:r>
          </w:p>
        </w:tc>
        <w:tc>
          <w:tcPr>
            <w:tcW w:w="1608" w:type="dxa"/>
          </w:tcPr>
          <w:p w14:paraId="15FCFB43">
            <w:pPr>
              <w:jc w:val="both"/>
            </w:pPr>
            <w:r>
              <w:rPr>
                <w:b/>
                <w:color w:val="000000"/>
                <w:sz w:val="16"/>
              </w:rPr>
              <w:t>Methodology</w:t>
            </w:r>
          </w:p>
        </w:tc>
        <w:tc>
          <w:tcPr>
            <w:tcW w:w="1608" w:type="dxa"/>
          </w:tcPr>
          <w:p w14:paraId="59A200E2">
            <w:pPr>
              <w:jc w:val="both"/>
            </w:pPr>
            <w:r>
              <w:rPr>
                <w:b/>
                <w:color w:val="000000"/>
                <w:sz w:val="16"/>
              </w:rPr>
              <w:t>Key Findings</w:t>
            </w:r>
          </w:p>
        </w:tc>
        <w:tc>
          <w:tcPr>
            <w:tcW w:w="1608" w:type="dxa"/>
          </w:tcPr>
          <w:p w14:paraId="175B3F9B">
            <w:pPr>
              <w:jc w:val="both"/>
            </w:pPr>
            <w:r>
              <w:rPr>
                <w:b/>
                <w:color w:val="000000"/>
                <w:sz w:val="16"/>
              </w:rPr>
              <w:t>Limitations</w:t>
            </w:r>
          </w:p>
        </w:tc>
        <w:tc>
          <w:tcPr>
            <w:tcW w:w="1608" w:type="dxa"/>
          </w:tcPr>
          <w:p w14:paraId="679F470B">
            <w:pPr>
              <w:jc w:val="both"/>
            </w:pPr>
            <w:r>
              <w:rPr>
                <w:b/>
                <w:color w:val="000000"/>
                <w:sz w:val="16"/>
              </w:rPr>
              <w:t>Research Gap</w:t>
            </w:r>
          </w:p>
        </w:tc>
      </w:tr>
      <w:tr w14:paraId="67097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top"/>
          </w:tcPr>
          <w:p w14:paraId="3CBD73A9">
            <w:pPr>
              <w:jc w:val="both"/>
            </w:pPr>
            <w:r>
              <w:rPr>
                <w:color w:val="000000"/>
                <w:sz w:val="15"/>
              </w:rPr>
              <w:t>Ellahi et al. (2023)</w:t>
            </w:r>
          </w:p>
        </w:tc>
        <w:tc>
          <w:tcPr>
            <w:tcW w:w="1608" w:type="dxa"/>
            <w:vAlign w:val="top"/>
          </w:tcPr>
          <w:p w14:paraId="5541B212">
            <w:pPr>
              <w:jc w:val="both"/>
            </w:pPr>
            <w:r>
              <w:rPr>
                <w:color w:val="000000"/>
                <w:sz w:val="15"/>
              </w:rPr>
              <w:t>Fragmented food traceability and weak transparency across complex supply chains.</w:t>
            </w:r>
          </w:p>
        </w:tc>
        <w:tc>
          <w:tcPr>
            <w:tcW w:w="1608" w:type="dxa"/>
            <w:vAlign w:val="top"/>
          </w:tcPr>
          <w:p w14:paraId="2C0764F0">
            <w:pPr>
              <w:jc w:val="both"/>
            </w:pPr>
            <w:r>
              <w:rPr>
                <w:color w:val="000000"/>
                <w:sz w:val="15"/>
              </w:rPr>
              <w:t>Systematic review of blockchain-based food traceability and Industry 4.0 integration.</w:t>
            </w:r>
          </w:p>
        </w:tc>
        <w:tc>
          <w:tcPr>
            <w:tcW w:w="1608" w:type="dxa"/>
            <w:vAlign w:val="top"/>
          </w:tcPr>
          <w:p w14:paraId="06BE0D23">
            <w:pPr>
              <w:jc w:val="both"/>
            </w:pPr>
            <w:r>
              <w:rPr>
                <w:color w:val="000000"/>
                <w:sz w:val="15"/>
              </w:rPr>
              <w:t>Blockchain can strengthen provenance, auditability, accountability, monitoring, and transparency.</w:t>
            </w:r>
          </w:p>
        </w:tc>
        <w:tc>
          <w:tcPr>
            <w:tcW w:w="1608" w:type="dxa"/>
            <w:vAlign w:val="top"/>
          </w:tcPr>
          <w:p w14:paraId="4D7A03B4">
            <w:pPr>
              <w:jc w:val="both"/>
            </w:pPr>
            <w:r>
              <w:rPr>
                <w:color w:val="000000"/>
                <w:sz w:val="15"/>
              </w:rPr>
              <w:t>Many frameworks remain conceptual; interoperability and implementation challenges persist.</w:t>
            </w:r>
          </w:p>
        </w:tc>
        <w:tc>
          <w:tcPr>
            <w:tcW w:w="1608" w:type="dxa"/>
            <w:vAlign w:val="top"/>
          </w:tcPr>
          <w:p w14:paraId="65ABE32E">
            <w:pPr>
              <w:jc w:val="both"/>
            </w:pPr>
            <w:r>
              <w:rPr>
                <w:color w:val="000000"/>
                <w:sz w:val="15"/>
              </w:rPr>
              <w:t>Need for an operational architecture that integrates predictive AI with evidence-oriented blockchain.</w:t>
            </w:r>
          </w:p>
        </w:tc>
      </w:tr>
      <w:tr w14:paraId="48EB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top"/>
          </w:tcPr>
          <w:p w14:paraId="21702178">
            <w:pPr>
              <w:jc w:val="both"/>
            </w:pPr>
            <w:r>
              <w:rPr>
                <w:color w:val="000000"/>
                <w:sz w:val="15"/>
              </w:rPr>
              <w:t>Kaur et al. (2022)</w:t>
            </w:r>
          </w:p>
        </w:tc>
        <w:tc>
          <w:tcPr>
            <w:tcW w:w="1608" w:type="dxa"/>
            <w:vAlign w:val="top"/>
          </w:tcPr>
          <w:p w14:paraId="2DB409A0">
            <w:pPr>
              <w:jc w:val="both"/>
            </w:pPr>
            <w:r>
              <w:rPr>
                <w:color w:val="000000"/>
                <w:sz w:val="15"/>
              </w:rPr>
              <w:t>Limited trusted data exchange and monitoring in food supply chains.</w:t>
            </w:r>
          </w:p>
        </w:tc>
        <w:tc>
          <w:tcPr>
            <w:tcW w:w="1608" w:type="dxa"/>
            <w:vAlign w:val="top"/>
          </w:tcPr>
          <w:p w14:paraId="0E6E0F2E">
            <w:pPr>
              <w:jc w:val="both"/>
            </w:pPr>
            <w:r>
              <w:rPr>
                <w:color w:val="000000"/>
                <w:sz w:val="15"/>
              </w:rPr>
              <w:t>Review of IoT and blockchain integration for food supply-chain management.</w:t>
            </w:r>
          </w:p>
        </w:tc>
        <w:tc>
          <w:tcPr>
            <w:tcW w:w="1608" w:type="dxa"/>
            <w:vAlign w:val="top"/>
          </w:tcPr>
          <w:p w14:paraId="0E1BB4C0">
            <w:pPr>
              <w:jc w:val="both"/>
            </w:pPr>
            <w:r>
              <w:rPr>
                <w:color w:val="000000"/>
                <w:sz w:val="15"/>
              </w:rPr>
              <w:t>IoT supports real-time acquisition while blockchain supports traceability and shared records.</w:t>
            </w:r>
          </w:p>
        </w:tc>
        <w:tc>
          <w:tcPr>
            <w:tcW w:w="1608" w:type="dxa"/>
            <w:vAlign w:val="top"/>
          </w:tcPr>
          <w:p w14:paraId="56DBA1B9">
            <w:pPr>
              <w:jc w:val="both"/>
            </w:pPr>
            <w:r>
              <w:rPr>
                <w:color w:val="000000"/>
                <w:sz w:val="15"/>
              </w:rPr>
              <w:t>Integration, cost, scalability, and data-quality issues remain.</w:t>
            </w:r>
          </w:p>
        </w:tc>
        <w:tc>
          <w:tcPr>
            <w:tcW w:w="1608" w:type="dxa"/>
            <w:vAlign w:val="top"/>
          </w:tcPr>
          <w:p w14:paraId="70D44603">
            <w:pPr>
              <w:jc w:val="both"/>
            </w:pPr>
            <w:r>
              <w:rPr>
                <w:color w:val="000000"/>
                <w:sz w:val="15"/>
              </w:rPr>
              <w:t>Need for trusted sensor provenance and edge processing before ledger commitment.</w:t>
            </w:r>
          </w:p>
        </w:tc>
      </w:tr>
      <w:tr w14:paraId="42B0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top"/>
          </w:tcPr>
          <w:p w14:paraId="59C67FDF">
            <w:pPr>
              <w:jc w:val="both"/>
            </w:pPr>
            <w:r>
              <w:rPr>
                <w:color w:val="000000"/>
                <w:sz w:val="15"/>
              </w:rPr>
              <w:t>Yu, Zhang &amp; Mujumdar (2024)</w:t>
            </w:r>
          </w:p>
        </w:tc>
        <w:tc>
          <w:tcPr>
            <w:tcW w:w="1608" w:type="dxa"/>
            <w:vAlign w:val="top"/>
          </w:tcPr>
          <w:p w14:paraId="10474576">
            <w:pPr>
              <w:jc w:val="both"/>
            </w:pPr>
            <w:r>
              <w:rPr>
                <w:color w:val="000000"/>
                <w:sz w:val="15"/>
              </w:rPr>
              <w:t>Timely and reliable fresh-food quality traceability and monitoring.</w:t>
            </w:r>
          </w:p>
        </w:tc>
        <w:tc>
          <w:tcPr>
            <w:tcW w:w="1608" w:type="dxa"/>
            <w:vAlign w:val="top"/>
          </w:tcPr>
          <w:p w14:paraId="4394B4F5">
            <w:pPr>
              <w:jc w:val="both"/>
            </w:pPr>
            <w:r>
              <w:rPr>
                <w:color w:val="000000"/>
                <w:sz w:val="15"/>
              </w:rPr>
              <w:t>Review of blockchain-based traceability and dynamic monitoring technologies.</w:t>
            </w:r>
          </w:p>
        </w:tc>
        <w:tc>
          <w:tcPr>
            <w:tcW w:w="1608" w:type="dxa"/>
            <w:vAlign w:val="top"/>
          </w:tcPr>
          <w:p w14:paraId="2A1A952D">
            <w:pPr>
              <w:jc w:val="both"/>
            </w:pPr>
            <w:r>
              <w:rPr>
                <w:color w:val="000000"/>
                <w:sz w:val="15"/>
              </w:rPr>
              <w:t>Blockchain can support dynamic traceability and quality information sharing.</w:t>
            </w:r>
          </w:p>
        </w:tc>
        <w:tc>
          <w:tcPr>
            <w:tcW w:w="1608" w:type="dxa"/>
            <w:vAlign w:val="top"/>
          </w:tcPr>
          <w:p w14:paraId="409C9AE1">
            <w:pPr>
              <w:jc w:val="both"/>
            </w:pPr>
            <w:r>
              <w:rPr>
                <w:color w:val="000000"/>
                <w:sz w:val="15"/>
              </w:rPr>
              <w:t>Real-world adoption and technical integration remain challenging.</w:t>
            </w:r>
          </w:p>
        </w:tc>
        <w:tc>
          <w:tcPr>
            <w:tcW w:w="1608" w:type="dxa"/>
            <w:vAlign w:val="top"/>
          </w:tcPr>
          <w:p w14:paraId="310E24C3">
            <w:pPr>
              <w:jc w:val="both"/>
            </w:pPr>
            <w:r>
              <w:rPr>
                <w:color w:val="000000"/>
                <w:sz w:val="15"/>
              </w:rPr>
              <w:t>Need to connect dynamic environmental prediction with traceability events.</w:t>
            </w:r>
          </w:p>
        </w:tc>
      </w:tr>
      <w:tr w14:paraId="39AD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top"/>
          </w:tcPr>
          <w:p w14:paraId="61641927">
            <w:pPr>
              <w:jc w:val="both"/>
            </w:pPr>
            <w:r>
              <w:rPr>
                <w:color w:val="000000"/>
                <w:sz w:val="15"/>
              </w:rPr>
              <w:t>Pakseresht et al. (2024)</w:t>
            </w:r>
          </w:p>
        </w:tc>
        <w:tc>
          <w:tcPr>
            <w:tcW w:w="1608" w:type="dxa"/>
            <w:vAlign w:val="top"/>
          </w:tcPr>
          <w:p w14:paraId="685AE23D">
            <w:pPr>
              <w:jc w:val="both"/>
            </w:pPr>
            <w:r>
              <w:rPr>
                <w:color w:val="000000"/>
                <w:sz w:val="15"/>
              </w:rPr>
              <w:t>Understanding which blockchain characteristics are valuable for agri-food applications.</w:t>
            </w:r>
          </w:p>
        </w:tc>
        <w:tc>
          <w:tcPr>
            <w:tcW w:w="1608" w:type="dxa"/>
            <w:vAlign w:val="top"/>
          </w:tcPr>
          <w:p w14:paraId="08D837C9">
            <w:pPr>
              <w:jc w:val="both"/>
            </w:pPr>
            <w:r>
              <w:rPr>
                <w:color w:val="000000"/>
                <w:sz w:val="15"/>
              </w:rPr>
              <w:t>Systematic review of blockchain characteristics and applications.</w:t>
            </w:r>
          </w:p>
        </w:tc>
        <w:tc>
          <w:tcPr>
            <w:tcW w:w="1608" w:type="dxa"/>
            <w:vAlign w:val="top"/>
          </w:tcPr>
          <w:p w14:paraId="0787F59E">
            <w:pPr>
              <w:jc w:val="both"/>
            </w:pPr>
            <w:r>
              <w:rPr>
                <w:color w:val="000000"/>
                <w:sz w:val="15"/>
              </w:rPr>
              <w:t>Immutability and automation are particularly relevant to food traceability.</w:t>
            </w:r>
          </w:p>
        </w:tc>
        <w:tc>
          <w:tcPr>
            <w:tcW w:w="1608" w:type="dxa"/>
            <w:vAlign w:val="top"/>
          </w:tcPr>
          <w:p w14:paraId="521E511E">
            <w:pPr>
              <w:jc w:val="both"/>
            </w:pPr>
            <w:r>
              <w:rPr>
                <w:color w:val="000000"/>
                <w:sz w:val="15"/>
              </w:rPr>
              <w:t>Technical improvement and environmental impacts require further study.</w:t>
            </w:r>
          </w:p>
        </w:tc>
        <w:tc>
          <w:tcPr>
            <w:tcW w:w="1608" w:type="dxa"/>
            <w:vAlign w:val="top"/>
          </w:tcPr>
          <w:p w14:paraId="0F48157C">
            <w:pPr>
              <w:jc w:val="both"/>
            </w:pPr>
            <w:r>
              <w:rPr>
                <w:color w:val="000000"/>
                <w:sz w:val="15"/>
              </w:rPr>
              <w:t>Need a hybrid architecture that limits ledger growth and quantifies resource cost.</w:t>
            </w:r>
          </w:p>
        </w:tc>
      </w:tr>
      <w:tr w14:paraId="102D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top"/>
          </w:tcPr>
          <w:p w14:paraId="09CD213A">
            <w:pPr>
              <w:jc w:val="both"/>
            </w:pPr>
            <w:r>
              <w:rPr>
                <w:color w:val="000000"/>
                <w:sz w:val="15"/>
              </w:rPr>
              <w:t>Chunduri et al. (2024)</w:t>
            </w:r>
          </w:p>
        </w:tc>
        <w:tc>
          <w:tcPr>
            <w:tcW w:w="1608" w:type="dxa"/>
            <w:vAlign w:val="top"/>
          </w:tcPr>
          <w:p w14:paraId="12AB3196">
            <w:pPr>
              <w:jc w:val="both"/>
            </w:pPr>
            <w:r>
              <w:rPr>
                <w:color w:val="000000"/>
                <w:sz w:val="15"/>
              </w:rPr>
              <w:t>Secure and optimized traceability across multiple agricultural supply-chain entities.</w:t>
            </w:r>
          </w:p>
        </w:tc>
        <w:tc>
          <w:tcPr>
            <w:tcW w:w="1608" w:type="dxa"/>
            <w:vAlign w:val="top"/>
          </w:tcPr>
          <w:p w14:paraId="24C1765C">
            <w:pPr>
              <w:jc w:val="both"/>
            </w:pPr>
            <w:r>
              <w:rPr>
                <w:color w:val="000000"/>
                <w:sz w:val="15"/>
              </w:rPr>
              <w:t>Ethereum-based blockchain and smart-contract framework.</w:t>
            </w:r>
          </w:p>
        </w:tc>
        <w:tc>
          <w:tcPr>
            <w:tcW w:w="1608" w:type="dxa"/>
            <w:vAlign w:val="top"/>
          </w:tcPr>
          <w:p w14:paraId="5975717D">
            <w:pPr>
              <w:jc w:val="both"/>
            </w:pPr>
            <w:r>
              <w:rPr>
                <w:color w:val="000000"/>
                <w:sz w:val="15"/>
              </w:rPr>
              <w:t>Smart contracts can preserve critical production and distribution information.</w:t>
            </w:r>
          </w:p>
        </w:tc>
        <w:tc>
          <w:tcPr>
            <w:tcW w:w="1608" w:type="dxa"/>
            <w:vAlign w:val="top"/>
          </w:tcPr>
          <w:p w14:paraId="3F08A3B7">
            <w:pPr>
              <w:jc w:val="both"/>
            </w:pPr>
            <w:r>
              <w:rPr>
                <w:color w:val="000000"/>
                <w:sz w:val="15"/>
              </w:rPr>
              <w:t>High-volume telemetry and scalability remain concerns.</w:t>
            </w:r>
          </w:p>
        </w:tc>
        <w:tc>
          <w:tcPr>
            <w:tcW w:w="1608" w:type="dxa"/>
            <w:vAlign w:val="top"/>
          </w:tcPr>
          <w:p w14:paraId="682EF86E">
            <w:pPr>
              <w:jc w:val="both"/>
            </w:pPr>
            <w:r>
              <w:rPr>
                <w:color w:val="000000"/>
                <w:sz w:val="15"/>
              </w:rPr>
              <w:t>Need to keep sensor streams off-chain while preserving verifiable commitments.</w:t>
            </w:r>
          </w:p>
        </w:tc>
      </w:tr>
      <w:tr w14:paraId="3F7F1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top"/>
          </w:tcPr>
          <w:p w14:paraId="0D536413">
            <w:pPr>
              <w:jc w:val="both"/>
            </w:pPr>
            <w:r>
              <w:rPr>
                <w:color w:val="000000"/>
                <w:sz w:val="15"/>
              </w:rPr>
              <w:t>Gupta et al. (2026)</w:t>
            </w:r>
          </w:p>
        </w:tc>
        <w:tc>
          <w:tcPr>
            <w:tcW w:w="1608" w:type="dxa"/>
            <w:vAlign w:val="top"/>
          </w:tcPr>
          <w:p w14:paraId="245D5B97">
            <w:pPr>
              <w:jc w:val="both"/>
            </w:pPr>
            <w:r>
              <w:rPr>
                <w:color w:val="000000"/>
                <w:sz w:val="15"/>
              </w:rPr>
              <w:t>Real-time monitoring, transparency, and proactive spoilage/demand risk in perishable food chains.</w:t>
            </w:r>
          </w:p>
        </w:tc>
        <w:tc>
          <w:tcPr>
            <w:tcW w:w="1608" w:type="dxa"/>
            <w:vAlign w:val="top"/>
          </w:tcPr>
          <w:p w14:paraId="7D00AAFB">
            <w:pPr>
              <w:jc w:val="both"/>
            </w:pPr>
            <w:r>
              <w:rPr>
                <w:color w:val="000000"/>
                <w:sz w:val="15"/>
              </w:rPr>
              <w:t>IoT sensing, private Ethereum, IPFS, and hybrid ARIMA-LSTM prediction.</w:t>
            </w:r>
          </w:p>
        </w:tc>
        <w:tc>
          <w:tcPr>
            <w:tcW w:w="1608" w:type="dxa"/>
            <w:vAlign w:val="top"/>
          </w:tcPr>
          <w:p w14:paraId="68AD4F63">
            <w:pPr>
              <w:jc w:val="both"/>
            </w:pPr>
            <w:r>
              <w:rPr>
                <w:color w:val="000000"/>
                <w:sz w:val="15"/>
              </w:rPr>
              <w:t>Integrated sensing, immutable logging, and forecasting can support spoilage-risk management.</w:t>
            </w:r>
          </w:p>
        </w:tc>
        <w:tc>
          <w:tcPr>
            <w:tcW w:w="1608" w:type="dxa"/>
            <w:vAlign w:val="top"/>
          </w:tcPr>
          <w:p w14:paraId="0CD91EA4">
            <w:pPr>
              <w:jc w:val="both"/>
            </w:pPr>
            <w:r>
              <w:rPr>
                <w:color w:val="000000"/>
                <w:sz w:val="15"/>
              </w:rPr>
              <w:t>Further validation and large-scale deployment are required.</w:t>
            </w:r>
          </w:p>
        </w:tc>
        <w:tc>
          <w:tcPr>
            <w:tcW w:w="1608" w:type="dxa"/>
            <w:vAlign w:val="top"/>
          </w:tcPr>
          <w:p w14:paraId="12DFB1C4">
            <w:pPr>
              <w:jc w:val="both"/>
            </w:pPr>
            <w:r>
              <w:rPr>
                <w:color w:val="000000"/>
                <w:sz w:val="15"/>
              </w:rPr>
              <w:t>Need stronger product-specific quality models, edge inference, governance, and sensor-trust mechanisms.</w:t>
            </w:r>
          </w:p>
        </w:tc>
      </w:tr>
    </w:tbl>
    <w:p w14:paraId="2A909263">
      <w:pPr>
        <w:rPr>
          <w:rFonts w:ascii="Times New Roman" w:hAnsi="Times New Roman"/>
          <w:color w:val="000000"/>
        </w:rPr>
      </w:pPr>
      <w:r>
        <w:rPr>
          <w:rFonts w:ascii="Times New Roman" w:hAnsi="Times New Roman"/>
          <w:color w:val="000000"/>
        </w:rPr>
        <w:br w:type="page"/>
      </w:r>
    </w:p>
    <w:p w14:paraId="6F9F9F87">
      <w:pPr>
        <w:pStyle w:val="2"/>
        <w:jc w:val="both"/>
      </w:pPr>
      <w:r>
        <w:rPr>
          <w:rFonts w:ascii="Times New Roman" w:hAnsi="Times New Roman"/>
          <w:color w:val="000000"/>
        </w:rPr>
        <w:t>5. Critical Analysis and Identified Research Gaps</w:t>
      </w:r>
    </w:p>
    <w:p w14:paraId="2774B89F">
      <w:pPr>
        <w:pStyle w:val="3"/>
        <w:jc w:val="both"/>
      </w:pPr>
      <w:r>
        <w:rPr>
          <w:rFonts w:ascii="Times New Roman" w:hAnsi="Times New Roman"/>
          <w:color w:val="000000"/>
        </w:rPr>
        <w:t>5.1 Gap in Sensor Trust and Data Provenance</w:t>
      </w:r>
    </w:p>
    <w:p w14:paraId="00738E2A">
      <w:pPr>
        <w:jc w:val="both"/>
      </w:pPr>
      <w:r>
        <w:rPr>
          <w:rFonts w:ascii="Times New Roman" w:hAnsi="Times New Roman"/>
          <w:b w:val="0"/>
          <w:i w:val="0"/>
          <w:color w:val="000000"/>
        </w:rPr>
        <w:t>The first major gap is the assumption that sensor data are inherently trustworthy. A blockchain can make a record difficult to modify after commitment, but it cannot determine whether the sensor was correctly calibrated. This creates a distinction between record integrity and measurement integrity. The proposed platform addresses record integrity through cryptographic commitments and measurement integrity through device registration, calibration status, data-quality checks, redundancy, and anomaly screening. Every measurement should be traceable to a device and gateway, and every device should have a lifecycle state such as REGISTERED, ACTIVE, CALIBRATION_DUE, SUSPENDED, or RETIRED.</w:t>
      </w:r>
    </w:p>
    <w:p w14:paraId="367A0163">
      <w:pPr>
        <w:pStyle w:val="3"/>
        <w:jc w:val="both"/>
      </w:pPr>
      <w:r>
        <w:rPr>
          <w:rFonts w:ascii="Times New Roman" w:hAnsi="Times New Roman"/>
          <w:color w:val="000000"/>
        </w:rPr>
        <w:t>5.2 Gap in Predictive Explainability</w:t>
      </w:r>
    </w:p>
    <w:p w14:paraId="26F56AC3">
      <w:pPr>
        <w:jc w:val="both"/>
      </w:pPr>
      <w:r>
        <w:rPr>
          <w:rFonts w:ascii="Times New Roman" w:hAnsi="Times New Roman"/>
          <w:b w:val="0"/>
          <w:i w:val="0"/>
          <w:color w:val="000000"/>
        </w:rPr>
        <w:t>A prediction becomes operationally useful only when the user can understand its relevance. A model may predict that a shipment will exceed its temperature range within ten minutes, but an operator needs to know whether the cause is a door event, ambient heat, refrigeration degradation, or a sequence of previous excursions. The proposed platform therefore records supporting features with each alert. The alert object contains the predicted trajectory, current deviation, cumulative exposure, recent door events, model version, confidence information, and deterministic rule state. This provides a more useful explanation than a single risk number.</w:t>
      </w:r>
    </w:p>
    <w:p w14:paraId="4E9BCCF6">
      <w:pPr>
        <w:pStyle w:val="3"/>
        <w:jc w:val="both"/>
      </w:pPr>
      <w:r>
        <w:rPr>
          <w:rFonts w:ascii="Times New Roman" w:hAnsi="Times New Roman"/>
          <w:color w:val="000000"/>
        </w:rPr>
        <w:t>5.3 Gap in Uncertainty and Distribution Shift</w:t>
      </w:r>
    </w:p>
    <w:p w14:paraId="0315345D">
      <w:pPr>
        <w:jc w:val="both"/>
      </w:pPr>
      <w:r>
        <w:rPr>
          <w:rFonts w:ascii="Times New Roman" w:hAnsi="Times New Roman"/>
          <w:b w:val="0"/>
          <w:i w:val="0"/>
          <w:color w:val="000000"/>
        </w:rPr>
        <w:t>Food logistics environments change. A model trained on one vehicle type may behave differently in another. A model trained during winter may not generalize to extreme summer conditions. Products with different thermal masses may produce different temperature trajectories. Therefore, a deployment should monitor model uncertainty and distribution shift. The system can compare the distribution of current features against the training distribution and flag unusual conditions. When the model operates outside its validated range, the platform can fall back to deterministic monitoring and request human review.</w:t>
      </w:r>
    </w:p>
    <w:p w14:paraId="0E7938CF">
      <w:pPr>
        <w:pStyle w:val="3"/>
        <w:jc w:val="both"/>
      </w:pPr>
      <w:r>
        <w:rPr>
          <w:rFonts w:ascii="Times New Roman" w:hAnsi="Times New Roman"/>
          <w:color w:val="000000"/>
        </w:rPr>
        <w:t>5.4 Gap in Blockchain Scalability</w:t>
      </w:r>
    </w:p>
    <w:p w14:paraId="6B4B7906">
      <w:pPr>
        <w:jc w:val="both"/>
      </w:pPr>
      <w:r>
        <w:rPr>
          <w:rFonts w:ascii="Times New Roman" w:hAnsi="Times New Roman"/>
          <w:b w:val="0"/>
          <w:i w:val="0"/>
          <w:color w:val="000000"/>
        </w:rPr>
        <w:t>Blockchain scalability remains one of the most direct obstacles to sensor-intensive traceability. The proposed hybrid design limits ledger events to high-value state changes and cryptographic commitments. A daily shipment record may contain thousands of sensor observations but only a small number of ledger transactions. This reduces storage replication and transaction overhead. It also creates a clear separation between operational analytics and governance evidence.</w:t>
      </w:r>
    </w:p>
    <w:p w14:paraId="42ACA508">
      <w:pPr>
        <w:pStyle w:val="3"/>
        <w:jc w:val="both"/>
      </w:pPr>
      <w:r>
        <w:rPr>
          <w:rFonts w:ascii="Times New Roman" w:hAnsi="Times New Roman"/>
          <w:color w:val="000000"/>
        </w:rPr>
        <w:t>5.5 Gap in Cross-Organization Governance</w:t>
      </w:r>
    </w:p>
    <w:p w14:paraId="7F25D131">
      <w:pPr>
        <w:jc w:val="both"/>
      </w:pPr>
      <w:r>
        <w:rPr>
          <w:rFonts w:ascii="Times New Roman" w:hAnsi="Times New Roman"/>
          <w:b w:val="0"/>
          <w:i w:val="0"/>
          <w:color w:val="000000"/>
        </w:rPr>
        <w:t>A supply chain is not controlled by one organization. Producers, logistics operators, processors, warehouses, and retailers have different responsibilities. A common ledger is useful only if the participants agree on who can create, approve, dispute, and resolve events. The proposed architecture therefore includes explicit role permissions, event ownership, approval workflows, and dispute records. An original event is never silently edited; a correction is appended as a new event referencing the original.</w:t>
      </w:r>
    </w:p>
    <w:p w14:paraId="0AF4F468">
      <w:pPr>
        <w:pStyle w:val="3"/>
        <w:jc w:val="both"/>
      </w:pPr>
      <w:r>
        <w:rPr>
          <w:rFonts w:ascii="Times New Roman" w:hAnsi="Times New Roman"/>
          <w:color w:val="000000"/>
        </w:rPr>
        <w:t>5.6 Gap in Realistic Evaluation</w:t>
      </w:r>
    </w:p>
    <w:p w14:paraId="43DEA676">
      <w:pPr>
        <w:jc w:val="both"/>
      </w:pPr>
      <w:r>
        <w:rPr>
          <w:rFonts w:ascii="Times New Roman" w:hAnsi="Times New Roman"/>
          <w:b w:val="0"/>
          <w:i w:val="0"/>
          <w:color w:val="000000"/>
        </w:rPr>
        <w:t>Many prototypes are tested under controlled conditions. Real supply chains include network outages, loading operations, sensor faults, equipment cycling, changing ambient conditions, and human intervention. The proposed evaluation therefore includes disturbance scenarios and measures end-to-end behavior. The relevant question is not only whether the model predicts temperature accurately but whether the platform detects risk early enough to enable a meaningful operational response.</w:t>
      </w:r>
    </w:p>
    <w:p w14:paraId="061DE18C">
      <w:pPr>
        <w:pStyle w:val="3"/>
        <w:jc w:val="both"/>
      </w:pPr>
      <w:r>
        <w:rPr>
          <w:rFonts w:ascii="Times New Roman" w:hAnsi="Times New Roman"/>
          <w:color w:val="000000"/>
        </w:rPr>
        <w:t>5.7 Gap in Regulatory Interpretation</w:t>
      </w:r>
    </w:p>
    <w:p w14:paraId="4B8D5BAB">
      <w:pPr>
        <w:jc w:val="both"/>
      </w:pPr>
      <w:r>
        <w:rPr>
          <w:rFonts w:ascii="Times New Roman" w:hAnsi="Times New Roman"/>
          <w:b w:val="0"/>
          <w:i w:val="0"/>
          <w:color w:val="000000"/>
        </w:rPr>
        <w:t>A software system cannot assume that one temperature threshold is universally applicable. Food categories and jurisdictions impose different requirements. The platform must therefore store compliance profiles rather than hard-code a universal value. Each profile contains the jurisdiction, product category, measurement definition, threshold, allowable duration, evidence requirements, and responsible role. The system then generates evidence according to the applicable profile. This design makes the platform adaptable without modifying the core application logic.</w:t>
      </w:r>
    </w:p>
    <w:p w14:paraId="1D1BFD77">
      <w:pPr>
        <w:rPr>
          <w:rFonts w:ascii="Times New Roman" w:hAnsi="Times New Roman"/>
          <w:color w:val="000000"/>
        </w:rPr>
      </w:pPr>
      <w:r>
        <w:rPr>
          <w:rFonts w:ascii="Times New Roman" w:hAnsi="Times New Roman"/>
          <w:color w:val="000000"/>
        </w:rPr>
        <w:br w:type="page"/>
      </w:r>
    </w:p>
    <w:p w14:paraId="0DB74BC0">
      <w:pPr>
        <w:pStyle w:val="2"/>
        <w:jc w:val="both"/>
      </w:pPr>
      <w:r>
        <w:rPr>
          <w:rFonts w:ascii="Times New Roman" w:hAnsi="Times New Roman"/>
          <w:color w:val="000000"/>
        </w:rPr>
        <w:t>6. Proposed System Architecture</w:t>
      </w:r>
    </w:p>
    <w:p w14:paraId="150529D2">
      <w:pPr>
        <w:jc w:val="both"/>
      </w:pPr>
      <w:r>
        <w:rPr>
          <w:rFonts w:ascii="Times New Roman" w:hAnsi="Times New Roman"/>
          <w:b w:val="0"/>
          <w:i w:val="0"/>
          <w:color w:val="000000"/>
        </w:rPr>
        <w:t>The proposed architecture is organized as a layered cyber-physical information system. The physical sensing layer generates observations. The edge gateway validates and aggregates them. The AI layer performs sequence inference. The operational data layer stores detailed records. The hybrid blockchain layer preserves shared evidence and governance events. The application layer presents dashboards, traceability queries, alerts, reports, and administrative controls. These layers communicate through versioned event schemas and authenticated interfaces.</w:t>
      </w:r>
    </w:p>
    <w:p w14:paraId="5176CA23">
      <w:pPr>
        <w:pStyle w:val="3"/>
        <w:jc w:val="both"/>
      </w:pPr>
      <w:r>
        <w:rPr>
          <w:rFonts w:ascii="Times New Roman" w:hAnsi="Times New Roman"/>
          <w:color w:val="000000"/>
        </w:rPr>
        <w:t>6.1 Physical Sensing Layer</w:t>
      </w:r>
    </w:p>
    <w:p w14:paraId="345F54CB">
      <w:pPr>
        <w:jc w:val="both"/>
      </w:pPr>
      <w:r>
        <w:rPr>
          <w:rFonts w:ascii="Times New Roman" w:hAnsi="Times New Roman"/>
          <w:b w:val="0"/>
          <w:i w:val="0"/>
          <w:color w:val="000000"/>
        </w:rPr>
        <w:t>The physical layer contains temperature sensors, humidity sensors, door sensors, location devices, and optional equipment telemetry. A shipment or container receives a persistent digital identity. The identity is associated with product, lot, container, and custody information. Sensor measurements include timestamp, device ID, value, unit, quality status, sequence number, and gateway ID. This structure ensures that an observation can be traced back to its physical origin.</w:t>
      </w:r>
    </w:p>
    <w:p w14:paraId="00FBE6EE">
      <w:pPr>
        <w:pStyle w:val="3"/>
        <w:jc w:val="both"/>
      </w:pPr>
      <w:r>
        <w:rPr>
          <w:rFonts w:ascii="Times New Roman" w:hAnsi="Times New Roman"/>
          <w:color w:val="000000"/>
        </w:rPr>
        <w:t>6.2 Edge Gateway</w:t>
      </w:r>
    </w:p>
    <w:p w14:paraId="49B1A97C">
      <w:pPr>
        <w:jc w:val="both"/>
      </w:pPr>
      <w:r>
        <w:rPr>
          <w:rFonts w:ascii="Times New Roman" w:hAnsi="Times New Roman"/>
          <w:b w:val="0"/>
          <w:i w:val="0"/>
          <w:color w:val="000000"/>
        </w:rPr>
        <w:t>The gateway is the first software trust boundary. It receives raw sensor messages, validates them, maintains a local buffer, calculates derived features, and executes the Bi-LSTM inference service. If connectivity is lost, the gateway continues collecting data and queues events for later synchronization. It should use an append-only local journal so that synchronization can reconstruct the original sequence. The gateway also signs event packages or uses secure device credentials to establish provenance.</w:t>
      </w:r>
    </w:p>
    <w:p w14:paraId="7D8C4390">
      <w:pPr>
        <w:pStyle w:val="3"/>
        <w:jc w:val="both"/>
      </w:pPr>
      <w:r>
        <w:rPr>
          <w:rFonts w:ascii="Times New Roman" w:hAnsi="Times New Roman"/>
          <w:color w:val="000000"/>
        </w:rPr>
        <w:t>6.3 Data Validation Pipeline</w:t>
      </w:r>
    </w:p>
    <w:p w14:paraId="4537ACC5">
      <w:pPr>
        <w:jc w:val="both"/>
      </w:pPr>
      <w:r>
        <w:rPr>
          <w:rFonts w:ascii="Times New Roman" w:hAnsi="Times New Roman"/>
          <w:b w:val="0"/>
          <w:i w:val="0"/>
          <w:color w:val="000000"/>
        </w:rPr>
        <w:t>Validation is performed before prediction. Range validation checks whether the measurement is within the physical operating range of the sensor. Temporal validation checks sequence numbers and timestamps. Rate-of-change validation identifies impossible jumps. Cross-sensor validation compares measurements from redundant devices. Device-health validation checks calibration status and battery condition. A measurement may therefore be labeled VALID, SUSPECT, MISSING, DUPLICATE, or DEVICE_FAULT. The AI layer can exclude or impute invalid values while retaining the original record for audit purposes.</w:t>
      </w:r>
    </w:p>
    <w:p w14:paraId="3A716187">
      <w:pPr>
        <w:pStyle w:val="3"/>
        <w:jc w:val="both"/>
      </w:pPr>
      <w:r>
        <w:rPr>
          <w:rFonts w:ascii="Times New Roman" w:hAnsi="Times New Roman"/>
          <w:color w:val="000000"/>
        </w:rPr>
        <w:t>6.4 Bi-LSTM Inference Pipeline</w:t>
      </w:r>
    </w:p>
    <w:p w14:paraId="16C24112">
      <w:pPr>
        <w:jc w:val="both"/>
      </w:pPr>
      <w:r>
        <w:rPr>
          <w:rFonts w:ascii="Times New Roman" w:hAnsi="Times New Roman"/>
          <w:b w:val="0"/>
          <w:i w:val="0"/>
          <w:color w:val="000000"/>
        </w:rPr>
        <w:t>The model input window can contain temperature, humidity, ambient temperature, door state, location-derived variables, shipment age, and cumulative exposure features. Suppose the input length is L and the feature dimension is d. The input matrix is X ∈ R^(L×d). The model transforms X into a hidden representation and produces one or more outputs. The first output can be a temperature trajectory, the second a humidity trajectory, and the third a risk score. Product-specific models may be used where the physical behavior differs substantially.</w:t>
      </w:r>
    </w:p>
    <w:p w14:paraId="26FB8328">
      <w:pPr>
        <w:jc w:val="both"/>
      </w:pPr>
      <w:r>
        <w:rPr>
          <w:rFonts w:ascii="Times New Roman" w:hAnsi="Times New Roman"/>
          <w:b w:val="0"/>
          <w:i w:val="0"/>
          <w:color w:val="000000"/>
        </w:rPr>
        <w:t>The inference service should maintain model metadata. Every prediction is associated with model ID, model version, feature schema, inference time, gateway ID, and confidence estimate. Model updates are centrally controlled and signed. The edge gateway should verify the signature before activating a new model. A rollback mechanism should be available if monitoring reveals unexpected behavior. These controls make the AI component auditable and maintainable.</w:t>
      </w:r>
    </w:p>
    <w:p w14:paraId="7182C4CD">
      <w:pPr>
        <w:pStyle w:val="3"/>
        <w:jc w:val="both"/>
      </w:pPr>
      <w:r>
        <w:rPr>
          <w:rFonts w:ascii="Times New Roman" w:hAnsi="Times New Roman"/>
          <w:color w:val="000000"/>
        </w:rPr>
        <w:t>6.5 Risk Engine</w:t>
      </w:r>
    </w:p>
    <w:p w14:paraId="1936FA09">
      <w:pPr>
        <w:jc w:val="both"/>
      </w:pPr>
      <w:r>
        <w:rPr>
          <w:rFonts w:ascii="Times New Roman" w:hAnsi="Times New Roman"/>
          <w:b w:val="0"/>
          <w:i w:val="0"/>
          <w:color w:val="000000"/>
        </w:rPr>
        <w:t>The risk engine combines prediction with deterministic rules. A simple conceptual risk function is:</w:t>
      </w:r>
    </w:p>
    <w:p w14:paraId="0204A884">
      <w:pPr>
        <w:jc w:val="both"/>
      </w:pPr>
      <w:r>
        <w:rPr>
          <w:rFonts w:ascii="Times New Roman" w:hAnsi="Times New Roman"/>
          <w:i/>
          <w:color w:val="000000"/>
        </w:rPr>
        <w:t>R(t) = w₁E_temp + w₂E_humidity + w₃P_excursion + w₄A_age + w₅U_model</w:t>
      </w:r>
    </w:p>
    <w:p w14:paraId="139B4ACB">
      <w:pPr>
        <w:jc w:val="both"/>
      </w:pPr>
      <w:r>
        <w:rPr>
          <w:rFonts w:ascii="Times New Roman" w:hAnsi="Times New Roman"/>
          <w:b w:val="0"/>
          <w:i w:val="0"/>
          <w:color w:val="000000"/>
        </w:rPr>
        <w:t>where E_temp represents thermal exposure, E_humidity represents humidity exposure, P_excursion represents predicted threshold-crossing probability, A_age represents shipment age, and U_model represents uncertainty. The weights are illustrative and must be validated using product-specific data. The system should retain the individual components so that the resulting risk state remains interpretable.</w:t>
      </w:r>
    </w:p>
    <w:p w14:paraId="4BA36080">
      <w:pPr>
        <w:pStyle w:val="3"/>
        <w:jc w:val="both"/>
      </w:pPr>
      <w:r>
        <w:rPr>
          <w:rFonts w:ascii="Times New Roman" w:hAnsi="Times New Roman"/>
          <w:color w:val="000000"/>
        </w:rPr>
        <w:t>6.6 Operational Database</w:t>
      </w:r>
    </w:p>
    <w:p w14:paraId="53665DA8">
      <w:pPr>
        <w:jc w:val="both"/>
      </w:pPr>
      <w:r>
        <w:rPr>
          <w:rFonts w:ascii="Times New Roman" w:hAnsi="Times New Roman"/>
          <w:b w:val="0"/>
          <w:i w:val="0"/>
          <w:color w:val="000000"/>
        </w:rPr>
        <w:t>The operational database contains entities such as User, Organization, Device, Product, Lot, Shipment, Location, SensorReading, ExposureWindow, Prediction, Alert, CustodyEvent, Inspection, CorrectiveAction, and Recall. Relationships connect a shipment to a lot, a lot to a product, a sensor reading to a device, and a custody event to an organization. A time-series database can store high-frequency measurements while a relational database stores transactional entities. The application service hides this storage separation behind a unified API.</w:t>
      </w:r>
    </w:p>
    <w:p w14:paraId="00282407">
      <w:pPr>
        <w:pStyle w:val="3"/>
        <w:jc w:val="both"/>
      </w:pPr>
      <w:r>
        <w:rPr>
          <w:rFonts w:ascii="Times New Roman" w:hAnsi="Times New Roman"/>
          <w:color w:val="000000"/>
        </w:rPr>
        <w:t>6.7 Hybrid Blockchain Ledger</w:t>
      </w:r>
    </w:p>
    <w:p w14:paraId="6A706DCD">
      <w:pPr>
        <w:jc w:val="both"/>
      </w:pPr>
      <w:r>
        <w:rPr>
          <w:rFonts w:ascii="Times New Roman" w:hAnsi="Times New Roman"/>
          <w:b w:val="0"/>
          <w:i w:val="0"/>
          <w:color w:val="000000"/>
        </w:rPr>
        <w:t>The ledger stores product registration, custody transitions, critical exceptions, compliance attestations, recall states, and evidence commitments. Each ledger transaction contains a reference to off-chain evidence rather than the complete sensor stream. A cryptographic digest provides integrity verification. The permissioned network can include nodes operated by participating organizations and authorized auditors. Access control determines which event types each organization can submit or read.</w:t>
      </w:r>
    </w:p>
    <w:p w14:paraId="60E77E88">
      <w:pPr>
        <w:pStyle w:val="3"/>
        <w:jc w:val="both"/>
      </w:pPr>
      <w:r>
        <w:rPr>
          <w:rFonts w:ascii="Times New Roman" w:hAnsi="Times New Roman"/>
          <w:color w:val="000000"/>
        </w:rPr>
        <w:t>6.8 Application and User Interfaces</w:t>
      </w:r>
    </w:p>
    <w:p w14:paraId="46DEA5F4">
      <w:pPr>
        <w:jc w:val="both"/>
      </w:pPr>
      <w:r>
        <w:rPr>
          <w:rFonts w:ascii="Times New Roman" w:hAnsi="Times New Roman"/>
          <w:b w:val="0"/>
          <w:i w:val="0"/>
          <w:color w:val="000000"/>
        </w:rPr>
        <w:t>The application layer contains dashboards for operations, quality management, logistics, auditing, and administration. The operations dashboard shows current shipment status and predicted risk. The traceability screen displays a chronological event history and custody graph. The quality screen shows environmental trends, cumulative exposure, model alerts, and sensor health. The compliance screen generates evidence packages and exception reports. The recall interface allows a user to select a lot and identify upstream sources and downstream recipients.</w:t>
      </w:r>
    </w:p>
    <w:p w14:paraId="19977382">
      <w:pPr>
        <w:pStyle w:val="3"/>
        <w:jc w:val="both"/>
      </w:pPr>
      <w:r>
        <w:rPr>
          <w:rFonts w:ascii="Times New Roman" w:hAnsi="Times New Roman"/>
          <w:color w:val="000000"/>
        </w:rPr>
        <w:t>6.9 End-to-End Event Flow</w:t>
      </w:r>
    </w:p>
    <w:p w14:paraId="75A33829">
      <w:pPr>
        <w:jc w:val="both"/>
      </w:pPr>
      <w:r>
        <w:rPr>
          <w:rFonts w:ascii="Times New Roman" w:hAnsi="Times New Roman"/>
          <w:b w:val="0"/>
          <w:i w:val="0"/>
          <w:color w:val="000000"/>
        </w:rPr>
        <w:t>A normal event begins when a sensor generates a reading. The gateway validates the reading and updates the local sequence window. The feature service calculates exposure variables. The Bi-LSTM predicts future environmental conditions. The risk engine combines prediction with deterministic product rules. If no threshold is violated, the event remains operational. If the predicted trajectory indicates a future violation, a warning is generated. If a current measurement crosses a critical threshold, a critical event is created. The application records the alert, and the evidence package is hashed. The ledger stores the critical event and evidence commitment. An authorized user then reviews or resolves the event according to governance policy.</w:t>
      </w:r>
    </w:p>
    <w:p w14:paraId="57E89C3A">
      <w:pPr>
        <w:pStyle w:val="3"/>
        <w:jc w:val="both"/>
      </w:pPr>
      <w:r>
        <w:rPr>
          <w:rFonts w:ascii="Times New Roman" w:hAnsi="Times New Roman"/>
          <w:color w:val="000000"/>
        </w:rPr>
        <w:t>6.10 Failure Handling</w:t>
      </w:r>
    </w:p>
    <w:p w14:paraId="1F80CDB3">
      <w:pPr>
        <w:jc w:val="both"/>
      </w:pPr>
      <w:r>
        <w:rPr>
          <w:rFonts w:ascii="Times New Roman" w:hAnsi="Times New Roman"/>
          <w:b w:val="0"/>
          <w:i w:val="0"/>
          <w:color w:val="000000"/>
        </w:rPr>
        <w:t>Failure handling is essential. If the network fails, the gateway buffers data. If a sensor fails, the system switches to redundant sensing or marks the condition as uncertain. If the AI service fails, deterministic threshold monitoring remains available. If the blockchain service is temporarily unavailable, the operational system continues recording events and submits them to the ledger when connectivity is restored. The platform should therefore degrade gracefully rather than making the entire system dependent on a single technology.</w:t>
      </w:r>
    </w:p>
    <w:p w14:paraId="79506D5F">
      <w:pPr>
        <w:pStyle w:val="2"/>
        <w:jc w:val="both"/>
      </w:pPr>
      <w:r>
        <w:rPr>
          <w:rFonts w:ascii="Times New Roman" w:hAnsi="Times New Roman"/>
          <w:color w:val="000000"/>
        </w:rPr>
        <w:t>7. Smart Contract Design and Autonomous Governance</w:t>
      </w:r>
    </w:p>
    <w:p w14:paraId="553A47F2">
      <w:pPr>
        <w:pStyle w:val="3"/>
        <w:jc w:val="both"/>
      </w:pPr>
      <w:r>
        <w:rPr>
          <w:rFonts w:ascii="Times New Roman" w:hAnsi="Times New Roman"/>
          <w:color w:val="000000"/>
        </w:rPr>
        <w:t>7.1 Contract Responsibilities</w:t>
      </w:r>
    </w:p>
    <w:p w14:paraId="2365F754">
      <w:pPr>
        <w:jc w:val="both"/>
      </w:pPr>
      <w:r>
        <w:rPr>
          <w:rFonts w:ascii="Times New Roman" w:hAnsi="Times New Roman"/>
          <w:b w:val="0"/>
          <w:i w:val="0"/>
          <w:color w:val="000000"/>
        </w:rPr>
        <w:t>The proposed ledger can contain several logical contracts. ProductRegistry manages product and lot registration. CustodyRegistry records authorized transfers. QualityEventRegistry records validated quality events. ComplianceRegistry stores policy outcomes and corrective-action states. RecallRegistry records recall initiation and affected lots. AuditRegistry links evidence commitments to external review. Separating these responsibilities makes the contracts easier to test and upgrade.</w:t>
      </w:r>
    </w:p>
    <w:p w14:paraId="000E40CA">
      <w:pPr>
        <w:pStyle w:val="3"/>
        <w:jc w:val="both"/>
      </w:pPr>
      <w:r>
        <w:rPr>
          <w:rFonts w:ascii="Times New Roman" w:hAnsi="Times New Roman"/>
          <w:color w:val="000000"/>
        </w:rPr>
        <w:t>7.2 Compliance Rule Representation</w:t>
      </w:r>
    </w:p>
    <w:p w14:paraId="02922928">
      <w:pPr>
        <w:jc w:val="both"/>
      </w:pPr>
      <w:r>
        <w:rPr>
          <w:rFonts w:ascii="Times New Roman" w:hAnsi="Times New Roman"/>
          <w:b w:val="0"/>
          <w:i w:val="0"/>
          <w:color w:val="000000"/>
        </w:rPr>
        <w:t>A product-specific temperature rule can define minimum and maximum acceptable temperatures and an allowable excursion duration. Let T_max be the upper threshold. Cumulative time above the threshold is:</w:t>
      </w:r>
    </w:p>
    <w:p w14:paraId="0107984C">
      <w:pPr>
        <w:jc w:val="both"/>
      </w:pPr>
      <w:r>
        <w:rPr>
          <w:rFonts w:ascii="Times New Roman" w:hAnsi="Times New Roman"/>
          <w:i/>
          <w:color w:val="000000"/>
        </w:rPr>
        <w:t>E_high = Σ Δtᵢ, where Tᵢ &gt; T_max</w:t>
      </w:r>
    </w:p>
    <w:p w14:paraId="72601C25">
      <w:pPr>
        <w:jc w:val="both"/>
      </w:pPr>
      <w:r>
        <w:rPr>
          <w:rFonts w:ascii="Times New Roman" w:hAnsi="Times New Roman"/>
          <w:b w:val="0"/>
          <w:i w:val="0"/>
          <w:color w:val="000000"/>
        </w:rPr>
        <w:t>If E_high exceeds the permitted duration, the compliance state may transition from NORMAL to WARNING or QUARANTINE. The contract does not calculate this from every raw measurement. Instead, the edge or application service submits a signed summary containing the relevant interval, exposure value, maximum deviation, device identity, and evidence commitment. The contract validates authorization and stores the result.</w:t>
      </w:r>
    </w:p>
    <w:p w14:paraId="682D00A9">
      <w:pPr>
        <w:pStyle w:val="3"/>
        <w:jc w:val="both"/>
      </w:pPr>
      <w:r>
        <w:rPr>
          <w:rFonts w:ascii="Times New Roman" w:hAnsi="Times New Roman"/>
          <w:color w:val="000000"/>
        </w:rPr>
        <w:t>7.3 Human-in-the-Loop Governance</w:t>
      </w:r>
    </w:p>
    <w:p w14:paraId="025FBD8F">
      <w:pPr>
        <w:jc w:val="both"/>
      </w:pPr>
      <w:r>
        <w:rPr>
          <w:rFonts w:ascii="Times New Roman" w:hAnsi="Times New Roman"/>
          <w:b w:val="0"/>
          <w:i w:val="0"/>
          <w:color w:val="000000"/>
        </w:rPr>
        <w:t>Autonomous governance should be constrained. A critical excursion can automatically create a quarantine state, but final disposition may require an authorized quality officer. The contract can therefore enforce a two-stage process: automatic exception creation followed by human approval or rejection. This avoids allowing an AI prediction or automated rule to make an irreversible decision without oversight.</w:t>
      </w:r>
    </w:p>
    <w:p w14:paraId="7BC51CC4">
      <w:pPr>
        <w:pStyle w:val="3"/>
        <w:jc w:val="both"/>
      </w:pPr>
      <w:r>
        <w:rPr>
          <w:rFonts w:ascii="Times New Roman" w:hAnsi="Times New Roman"/>
          <w:color w:val="000000"/>
        </w:rPr>
        <w:t>7.4 Custody and Accountability</w:t>
      </w:r>
    </w:p>
    <w:p w14:paraId="2C5529B7">
      <w:pPr>
        <w:jc w:val="both"/>
      </w:pPr>
      <w:r>
        <w:rPr>
          <w:rFonts w:ascii="Times New Roman" w:hAnsi="Times New Roman"/>
          <w:b w:val="0"/>
          <w:i w:val="0"/>
          <w:color w:val="000000"/>
        </w:rPr>
        <w:t>Custody transfer is another important event. When a shipment moves from one organization to another, the sending party creates a transfer request. The receiving party acknowledges the transfer. The ledger stores both identities and the time of acceptance. If a dispute occurs, the dispute becomes a new event. This prevents a participant from silently changing the original transfer history.</w:t>
      </w:r>
    </w:p>
    <w:p w14:paraId="694C1101">
      <w:pPr>
        <w:pStyle w:val="3"/>
        <w:jc w:val="both"/>
      </w:pPr>
      <w:r>
        <w:rPr>
          <w:rFonts w:ascii="Times New Roman" w:hAnsi="Times New Roman"/>
          <w:color w:val="000000"/>
        </w:rPr>
        <w:t>7.5 Recall Automation</w:t>
      </w:r>
    </w:p>
    <w:p w14:paraId="3CD1AE67">
      <w:pPr>
        <w:jc w:val="both"/>
      </w:pPr>
      <w:r>
        <w:rPr>
          <w:rFonts w:ascii="Times New Roman" w:hAnsi="Times New Roman"/>
          <w:b w:val="0"/>
          <w:i w:val="0"/>
          <w:color w:val="000000"/>
        </w:rPr>
        <w:t>When a confirmed safety event is associated with a lot, the recall service queries the event graph to identify downstream products and locations. The recall contract can record the affected lot and the status of notifications. The application then generates a recall list. Automation does not replace the legal recall process; it accelerates information retrieval and provides a consistent evidence record.</w:t>
      </w:r>
    </w:p>
    <w:p w14:paraId="780C0E06">
      <w:pPr>
        <w:pStyle w:val="3"/>
        <w:jc w:val="both"/>
      </w:pPr>
      <w:r>
        <w:rPr>
          <w:rFonts w:ascii="Times New Roman" w:hAnsi="Times New Roman"/>
          <w:color w:val="000000"/>
        </w:rPr>
        <w:t>7.6 Contract Security</w:t>
      </w:r>
    </w:p>
    <w:p w14:paraId="58A752C0">
      <w:pPr>
        <w:jc w:val="both"/>
      </w:pPr>
      <w:r>
        <w:rPr>
          <w:rFonts w:ascii="Times New Roman" w:hAnsi="Times New Roman"/>
          <w:b w:val="0"/>
          <w:i w:val="0"/>
          <w:color w:val="000000"/>
        </w:rPr>
        <w:t>Smart contracts require formal testing because errors can affect all participants. Contract functions should enforce role-based access, input validation, replay protection, and state-transition constraints. A participant should not be able to create a custody transfer for an unrelated organization. A corrective action should not be closed without the required evidence. Contract upgrades should follow a defined governance process and preserve historical state.</w:t>
      </w:r>
    </w:p>
    <w:p w14:paraId="2B4BFB92">
      <w:pPr>
        <w:pStyle w:val="3"/>
        <w:jc w:val="both"/>
      </w:pPr>
      <w:r>
        <w:rPr>
          <w:rFonts w:ascii="Times New Roman" w:hAnsi="Times New Roman"/>
          <w:color w:val="000000"/>
        </w:rPr>
        <w:t>7.7 Evidence Integrity</w:t>
      </w:r>
    </w:p>
    <w:p w14:paraId="6167EB32">
      <w:pPr>
        <w:jc w:val="both"/>
      </w:pPr>
      <w:r>
        <w:rPr>
          <w:rFonts w:ascii="Times New Roman" w:hAnsi="Times New Roman"/>
          <w:b w:val="0"/>
          <w:i w:val="0"/>
          <w:color w:val="000000"/>
        </w:rPr>
        <w:t>The contract should store the hash of an evidence package rather than the package itself. The package may contain CSV sensor data, model output, calibration status, and a signed event summary. When the evidence is retrieved, its digest is recalculated. A mismatch indicates that the file is not identical to the evidence committed at the event time. This design provides a practical balance between auditability and storage efficiency.</w:t>
      </w:r>
    </w:p>
    <w:p w14:paraId="09851749">
      <w:pPr>
        <w:rPr>
          <w:rFonts w:ascii="Times New Roman" w:hAnsi="Times New Roman"/>
          <w:color w:val="000000"/>
        </w:rPr>
      </w:pPr>
      <w:r>
        <w:rPr>
          <w:rFonts w:ascii="Times New Roman" w:hAnsi="Times New Roman"/>
          <w:color w:val="000000"/>
        </w:rPr>
        <w:br w:type="page"/>
      </w:r>
    </w:p>
    <w:p w14:paraId="0FC10C8A">
      <w:pPr>
        <w:pStyle w:val="2"/>
        <w:jc w:val="both"/>
      </w:pPr>
      <w:r>
        <w:rPr>
          <w:rFonts w:ascii="Times New Roman" w:hAnsi="Times New Roman"/>
          <w:color w:val="000000"/>
        </w:rPr>
        <w:t>8. System Performance and Simulation Discussion</w:t>
      </w:r>
    </w:p>
    <w:p w14:paraId="5CDAFBBA">
      <w:pPr>
        <w:pStyle w:val="3"/>
        <w:jc w:val="both"/>
      </w:pPr>
      <w:r>
        <w:rPr>
          <w:rFonts w:ascii="Times New Roman" w:hAnsi="Times New Roman"/>
          <w:color w:val="000000"/>
        </w:rPr>
        <w:t>8.1 Evaluation Objectives</w:t>
      </w:r>
    </w:p>
    <w:p w14:paraId="2B20640C">
      <w:pPr>
        <w:jc w:val="both"/>
      </w:pPr>
      <w:r>
        <w:rPr>
          <w:rFonts w:ascii="Times New Roman" w:hAnsi="Times New Roman"/>
          <w:b w:val="0"/>
          <w:i w:val="0"/>
          <w:color w:val="000000"/>
        </w:rPr>
        <w:t>Evaluation should be conducted at four levels: physical sensing, edge processing, predictive inference, and distributed governance. The physical layer is evaluated for measurement quality and communication reliability. The edge layer is evaluated for processing latency, buffer recovery, and resource use. The AI layer is evaluated for forecasting accuracy and warning performance. The ledger layer is evaluated for transaction throughput, latency, storage growth, and evidence-verification time. Finally, the complete system is evaluated for operational outcomes.</w:t>
      </w:r>
    </w:p>
    <w:p w14:paraId="7D73A0F3">
      <w:pPr>
        <w:pStyle w:val="3"/>
        <w:jc w:val="both"/>
      </w:pPr>
      <w:r>
        <w:rPr>
          <w:rFonts w:ascii="Times New Roman" w:hAnsi="Times New Roman"/>
          <w:color w:val="000000"/>
        </w:rPr>
        <w:t>8.2 Prediction Metrics</w:t>
      </w:r>
    </w:p>
    <w:p w14:paraId="228CF907">
      <w:pPr>
        <w:jc w:val="both"/>
      </w:pPr>
      <w:r>
        <w:rPr>
          <w:rFonts w:ascii="Times New Roman" w:hAnsi="Times New Roman"/>
          <w:b w:val="0"/>
          <w:i w:val="0"/>
          <w:color w:val="000000"/>
        </w:rPr>
        <w:t>For continuous temperature prediction, mean absolute error and root mean squared error are appropriate baseline measures:</w:t>
      </w:r>
    </w:p>
    <w:p w14:paraId="397F3324">
      <w:pPr>
        <w:jc w:val="both"/>
      </w:pPr>
      <w:r>
        <w:rPr>
          <w:rFonts w:ascii="Times New Roman" w:hAnsi="Times New Roman"/>
          <w:i/>
          <w:color w:val="000000"/>
        </w:rPr>
        <w:t>MAE = (1/n) Σ |yᵢ − ŷᵢ|</w:t>
      </w:r>
    </w:p>
    <w:p w14:paraId="370D9718">
      <w:pPr>
        <w:jc w:val="both"/>
      </w:pPr>
      <w:r>
        <w:rPr>
          <w:rFonts w:ascii="Times New Roman" w:hAnsi="Times New Roman"/>
          <w:i/>
          <w:color w:val="000000"/>
        </w:rPr>
        <w:t>RMSE = √[(1/n) Σ (yᵢ − ŷᵢ)²]</w:t>
      </w:r>
    </w:p>
    <w:p w14:paraId="00670E3F">
      <w:pPr>
        <w:jc w:val="both"/>
      </w:pPr>
      <w:r>
        <w:rPr>
          <w:rFonts w:ascii="Times New Roman" w:hAnsi="Times New Roman"/>
          <w:b w:val="0"/>
          <w:i w:val="0"/>
          <w:color w:val="000000"/>
        </w:rPr>
        <w:t>Mean absolute percentage error may also be used when the target values do not approach zero. For classification of warning events, precision, recall, F1-score, false-positive rate, and false-negative rate should be reported. A food logistics system should not optimize accuracy alone because class imbalance can make a high accuracy value misleading.</w:t>
      </w:r>
    </w:p>
    <w:p w14:paraId="2CA583F1">
      <w:pPr>
        <w:pStyle w:val="3"/>
        <w:jc w:val="both"/>
      </w:pPr>
      <w:r>
        <w:rPr>
          <w:rFonts w:ascii="Times New Roman" w:hAnsi="Times New Roman"/>
          <w:color w:val="000000"/>
        </w:rPr>
        <w:t>8.3 Alert Lead Time</w:t>
      </w:r>
    </w:p>
    <w:p w14:paraId="42990B82">
      <w:pPr>
        <w:jc w:val="both"/>
      </w:pPr>
      <w:r>
        <w:rPr>
          <w:rFonts w:ascii="Times New Roman" w:hAnsi="Times New Roman"/>
          <w:b w:val="0"/>
          <w:i w:val="0"/>
          <w:color w:val="000000"/>
        </w:rPr>
        <w:t>One of the most important operational metrics is alert lead time. If a threshold is crossed at time t_c and the system first produces a useful warning at t_w, then:</w:t>
      </w:r>
    </w:p>
    <w:p w14:paraId="5E25BBBF">
      <w:pPr>
        <w:jc w:val="both"/>
      </w:pPr>
      <w:r>
        <w:rPr>
          <w:rFonts w:ascii="Times New Roman" w:hAnsi="Times New Roman"/>
          <w:i/>
          <w:color w:val="000000"/>
        </w:rPr>
        <w:t>Lead Time = t_c − t_w</w:t>
      </w:r>
    </w:p>
    <w:p w14:paraId="2EE7EC11">
      <w:pPr>
        <w:jc w:val="both"/>
      </w:pPr>
      <w:r>
        <w:rPr>
          <w:rFonts w:ascii="Times New Roman" w:hAnsi="Times New Roman"/>
          <w:b w:val="0"/>
          <w:i w:val="0"/>
          <w:color w:val="000000"/>
        </w:rPr>
        <w:t>A positive lead time indicates that the warning was generated before the actual threshold crossing. The usefulness of the platform increases when the lead time is long enough for a realistic intervention, such as checking the refrigeration unit, closing a door, moving a pallet, contacting a driver, or rerouting a shipment.</w:t>
      </w:r>
    </w:p>
    <w:p w14:paraId="574C451F">
      <w:pPr>
        <w:pStyle w:val="3"/>
        <w:jc w:val="both"/>
      </w:pPr>
      <w:r>
        <w:rPr>
          <w:rFonts w:ascii="Times New Roman" w:hAnsi="Times New Roman"/>
          <w:color w:val="000000"/>
        </w:rPr>
        <w:t>8.4 Simulation Scenarios</w:t>
      </w:r>
    </w:p>
    <w:p w14:paraId="2625476D">
      <w:pPr>
        <w:jc w:val="both"/>
      </w:pPr>
      <w:r>
        <w:rPr>
          <w:rFonts w:ascii="Times New Roman" w:hAnsi="Times New Roman"/>
          <w:b w:val="0"/>
          <w:i w:val="0"/>
          <w:color w:val="000000"/>
        </w:rPr>
        <w:t>The simulation should include stable operation, gradual refrigeration degradation, sudden compressor failure, repeated door opening, ambient heat increase, sensor drift, sensor dropout, communication loss, delayed loading, and recovery after corrective action. Each scenario can be replayed using historical or synthetic time-series data. The same event-processing pipeline should be used for all scenarios so that the evaluation reflects the actual software architecture.</w:t>
      </w:r>
    </w:p>
    <w:p w14:paraId="134FE0F4">
      <w:pPr>
        <w:pStyle w:val="3"/>
        <w:jc w:val="both"/>
      </w:pPr>
      <w:r>
        <w:rPr>
          <w:rFonts w:ascii="Times New Roman" w:hAnsi="Times New Roman"/>
          <w:color w:val="000000"/>
        </w:rPr>
        <w:t>8.5 Network Outage Simulation</w:t>
      </w:r>
    </w:p>
    <w:p w14:paraId="00C6B542">
      <w:pPr>
        <w:jc w:val="both"/>
      </w:pPr>
      <w:r>
        <w:rPr>
          <w:rFonts w:ascii="Times New Roman" w:hAnsi="Times New Roman"/>
          <w:b w:val="0"/>
          <w:i w:val="0"/>
          <w:color w:val="000000"/>
        </w:rPr>
        <w:t>During a network outage, the edge gateway should continue collecting observations and executing the local risk model. The queue stores unsent events. When connectivity returns, events are synchronized in sequence order. The test should measure data loss, synchronization delay, duplicate prevention, and ledger consistency. A successful implementation should not require the cloud to be continuously available for local monitoring.</w:t>
      </w:r>
    </w:p>
    <w:p w14:paraId="5673FA56">
      <w:pPr>
        <w:pStyle w:val="3"/>
        <w:jc w:val="both"/>
      </w:pPr>
      <w:r>
        <w:rPr>
          <w:rFonts w:ascii="Times New Roman" w:hAnsi="Times New Roman"/>
          <w:color w:val="000000"/>
        </w:rPr>
        <w:t>8.6 Sensor Fault Simulation</w:t>
      </w:r>
    </w:p>
    <w:p w14:paraId="52C0C30B">
      <w:pPr>
        <w:jc w:val="both"/>
      </w:pPr>
      <w:r>
        <w:rPr>
          <w:rFonts w:ascii="Times New Roman" w:hAnsi="Times New Roman"/>
          <w:b w:val="0"/>
          <w:i w:val="0"/>
          <w:color w:val="000000"/>
        </w:rPr>
        <w:t>Sensor faults can be introduced by adding random spikes, constant offsets, missing intervals, frozen values, and unrealistic rates of change. The validation layer should classify these events. A redundant sensor can then be used for comparison. The objective is not to hide the faulty measurement but to prevent it from producing an unjustified compliance decision. The event remains visible for audit purposes.</w:t>
      </w:r>
    </w:p>
    <w:p w14:paraId="4BCDCFB8">
      <w:pPr>
        <w:pStyle w:val="3"/>
        <w:jc w:val="both"/>
      </w:pPr>
      <w:r>
        <w:rPr>
          <w:rFonts w:ascii="Times New Roman" w:hAnsi="Times New Roman"/>
          <w:color w:val="000000"/>
        </w:rPr>
        <w:t>8.7 Blockchain Performance</w:t>
      </w:r>
    </w:p>
    <w:p w14:paraId="2C7C56DB">
      <w:pPr>
        <w:jc w:val="both"/>
      </w:pPr>
      <w:r>
        <w:rPr>
          <w:rFonts w:ascii="Times New Roman" w:hAnsi="Times New Roman"/>
          <w:b w:val="0"/>
          <w:i w:val="0"/>
          <w:color w:val="000000"/>
        </w:rPr>
        <w:t>Blockchain performance should be measured using transaction latency, transaction throughput, block or batch confirmation time, node resource consumption, and ledger growth. The hybrid approach should be compared against a hypothetical architecture that stores every reading on-chain. The expected result is substantially lower ledger growth because the high-frequency stream remains off-chain. The comparison should be empirical in a future implementation rather than assumed.</w:t>
      </w:r>
    </w:p>
    <w:p w14:paraId="271B5B34">
      <w:pPr>
        <w:pStyle w:val="3"/>
        <w:jc w:val="both"/>
      </w:pPr>
      <w:r>
        <w:rPr>
          <w:rFonts w:ascii="Times New Roman" w:hAnsi="Times New Roman"/>
          <w:color w:val="000000"/>
        </w:rPr>
        <w:t>8.8 Cold-Storage Optimization</w:t>
      </w:r>
    </w:p>
    <w:p w14:paraId="61944AEF">
      <w:pPr>
        <w:jc w:val="both"/>
      </w:pPr>
      <w:r>
        <w:rPr>
          <w:rFonts w:ascii="Times New Roman" w:hAnsi="Times New Roman"/>
          <w:b w:val="0"/>
          <w:i w:val="0"/>
          <w:color w:val="000000"/>
        </w:rPr>
        <w:t>Cold-storage optimization can use the predicted thermal trajectory to support constrained refrigeration control. Let P(t) represent electrical power, T(t) the internal temperature, and C the set of product safety constraints. An optimization objective can be expressed conceptually as:</w:t>
      </w:r>
    </w:p>
    <w:p w14:paraId="6BA6114C">
      <w:pPr>
        <w:jc w:val="both"/>
      </w:pPr>
      <w:r>
        <w:rPr>
          <w:rFonts w:ascii="Times New Roman" w:hAnsi="Times New Roman"/>
          <w:i/>
          <w:color w:val="000000"/>
        </w:rPr>
        <w:t>minimize ∫ P(t) dt  subject to  T(t) ∈ C</w:t>
      </w:r>
    </w:p>
    <w:p w14:paraId="636DF039">
      <w:pPr>
        <w:jc w:val="both"/>
      </w:pPr>
      <w:r>
        <w:rPr>
          <w:rFonts w:ascii="Times New Roman" w:hAnsi="Times New Roman"/>
          <w:b w:val="0"/>
          <w:i w:val="0"/>
          <w:color w:val="000000"/>
        </w:rPr>
        <w:t>The AI model provides predicted thermal behavior, while the control layer ensures that the product remains within approved limits. The optimization should not directly maximize energy savings at the expense of food safety. A conservative constraint-based controller is therefore preferable to unconstrained AI control.</w:t>
      </w:r>
    </w:p>
    <w:p w14:paraId="053EECD4">
      <w:pPr>
        <w:pStyle w:val="3"/>
        <w:jc w:val="both"/>
      </w:pPr>
      <w:r>
        <w:rPr>
          <w:rFonts w:ascii="Times New Roman" w:hAnsi="Times New Roman"/>
          <w:color w:val="000000"/>
        </w:rPr>
        <w:t>8.9 End-to-End Performance</w:t>
      </w:r>
    </w:p>
    <w:p w14:paraId="247C3EFD">
      <w:pPr>
        <w:jc w:val="both"/>
      </w:pPr>
      <w:r>
        <w:rPr>
          <w:rFonts w:ascii="Times New Roman" w:hAnsi="Times New Roman"/>
          <w:b w:val="0"/>
          <w:i w:val="0"/>
          <w:color w:val="000000"/>
        </w:rPr>
        <w:t>The final evaluation should measure the time between physical occurrence and operator visibility. This end-to-end latency includes sensing, gateway processing, inference, API communication, alert generation, and user-interface update. The ledger confirmation time should be measured separately because evidence commitment may occur asynchronously. A system can therefore provide immediate local alerts while preserving the final immutable evidence transaction slightly later.</w:t>
      </w:r>
    </w:p>
    <w:p w14:paraId="1F05ECBC">
      <w:pPr>
        <w:pStyle w:val="3"/>
        <w:jc w:val="both"/>
      </w:pPr>
      <w:r>
        <w:rPr>
          <w:rFonts w:ascii="Times New Roman" w:hAnsi="Times New Roman"/>
          <w:color w:val="000000"/>
        </w:rPr>
        <w:t>8.10 Cost and Scalability</w:t>
      </w:r>
    </w:p>
    <w:p w14:paraId="6C377277">
      <w:pPr>
        <w:jc w:val="both"/>
      </w:pPr>
      <w:r>
        <w:rPr>
          <w:rFonts w:ascii="Times New Roman" w:hAnsi="Times New Roman"/>
          <w:b w:val="0"/>
          <w:i w:val="0"/>
          <w:color w:val="000000"/>
        </w:rPr>
        <w:t>Cost analysis should include sensors, gateways, connectivity, cloud or local storage, blockchain nodes, maintenance, calibration, and software operations. Scalability should be evaluated by increasing the number of shipments, sensors, and events. The architecture should remain stable as the number of sensor readings increases because raw data are stored in a scalable operational system while ledger events remain comparatively sparse.</w:t>
      </w:r>
    </w:p>
    <w:p w14:paraId="40C740E8">
      <w:pPr>
        <w:rPr>
          <w:rFonts w:ascii="Times New Roman" w:hAnsi="Times New Roman"/>
          <w:color w:val="000000"/>
        </w:rPr>
      </w:pPr>
      <w:r>
        <w:rPr>
          <w:rFonts w:ascii="Times New Roman" w:hAnsi="Times New Roman"/>
          <w:color w:val="000000"/>
        </w:rPr>
        <w:br w:type="page"/>
      </w:r>
    </w:p>
    <w:p w14:paraId="2FFCCB11">
      <w:pPr>
        <w:pStyle w:val="2"/>
        <w:jc w:val="both"/>
      </w:pPr>
      <w:r>
        <w:rPr>
          <w:rFonts w:ascii="Times New Roman" w:hAnsi="Times New Roman"/>
          <w:color w:val="000000"/>
        </w:rPr>
        <w:t>9. Regulatory Compliance and Sustainability Impact</w:t>
      </w:r>
    </w:p>
    <w:p w14:paraId="1778E108">
      <w:pPr>
        <w:pStyle w:val="3"/>
        <w:jc w:val="both"/>
      </w:pPr>
      <w:r>
        <w:rPr>
          <w:rFonts w:ascii="Times New Roman" w:hAnsi="Times New Roman"/>
          <w:color w:val="000000"/>
        </w:rPr>
        <w:t>9.1 Traceability as Evidence Management</w:t>
      </w:r>
    </w:p>
    <w:p w14:paraId="3AEB6101">
      <w:pPr>
        <w:jc w:val="both"/>
      </w:pPr>
      <w:r>
        <w:rPr>
          <w:rFonts w:ascii="Times New Roman" w:hAnsi="Times New Roman"/>
          <w:b w:val="0"/>
          <w:i w:val="0"/>
          <w:color w:val="000000"/>
        </w:rPr>
        <w:t>The proposed platform should be treated as an evidence-management and decision-support system rather than as an automatic legal certification engine. Regulatory requirements differ by country, commodity, processing stage, and product category. The application should therefore maintain configurable compliance profiles. A profile may contain applicable limits, evidence requirements, retention periods, required approvals, and escalation rules. This approach permits the same technical platform to support different regulatory environments without rewriting the core system.</w:t>
      </w:r>
    </w:p>
    <w:p w14:paraId="0F3808B4">
      <w:pPr>
        <w:pStyle w:val="3"/>
        <w:jc w:val="both"/>
      </w:pPr>
      <w:r>
        <w:rPr>
          <w:rFonts w:ascii="Times New Roman" w:hAnsi="Times New Roman"/>
          <w:color w:val="000000"/>
        </w:rPr>
        <w:t>9.2 Food Traceability Regulation</w:t>
      </w:r>
    </w:p>
    <w:p w14:paraId="030EA1D9">
      <w:pPr>
        <w:jc w:val="both"/>
      </w:pPr>
      <w:r>
        <w:rPr>
          <w:rFonts w:ascii="Times New Roman" w:hAnsi="Times New Roman"/>
          <w:b w:val="0"/>
          <w:i w:val="0"/>
          <w:color w:val="000000"/>
        </w:rPr>
        <w:t>Modern regulatory approaches increasingly emphasize standardized traceability information and the ability to reconstruct product movement. In the United States, the FDA Food Traceability Rule under FSMA provides an example of a framework that identifies specific data elements and events for covered foods. International food-safety systems similarly emphasize traceability, hygiene, hazard control, and documentation. The proposed platform can support these requirements by generating event records and evidence packages from a common data model. It does not, however, determine legal applicability on its own.</w:t>
      </w:r>
    </w:p>
    <w:p w14:paraId="6425E90C">
      <w:pPr>
        <w:pStyle w:val="3"/>
        <w:jc w:val="both"/>
      </w:pPr>
      <w:r>
        <w:rPr>
          <w:rFonts w:ascii="Times New Roman" w:hAnsi="Times New Roman"/>
          <w:color w:val="000000"/>
        </w:rPr>
        <w:t>9.3 Auditability</w:t>
      </w:r>
    </w:p>
    <w:p w14:paraId="602D645F">
      <w:pPr>
        <w:jc w:val="both"/>
      </w:pPr>
      <w:r>
        <w:rPr>
          <w:rFonts w:ascii="Times New Roman" w:hAnsi="Times New Roman"/>
          <w:b w:val="0"/>
          <w:i w:val="0"/>
          <w:color w:val="000000"/>
        </w:rPr>
        <w:t>An auditor should be able to select a shipment and reconstruct its history from origin through current location. The system should show custody events, environmental trends, exceptions, inspections, corrective actions, and evidence commitments. The auditor should also be able to verify that selected sensor-data packages correspond to the hashes stored in the ledger. This transforms audit activity from manual document collection into controlled evidence retrieval.</w:t>
      </w:r>
    </w:p>
    <w:p w14:paraId="17CA5125">
      <w:pPr>
        <w:pStyle w:val="3"/>
        <w:jc w:val="both"/>
      </w:pPr>
      <w:r>
        <w:rPr>
          <w:rFonts w:ascii="Times New Roman" w:hAnsi="Times New Roman"/>
          <w:color w:val="000000"/>
        </w:rPr>
        <w:t>9.4 Data Security and Privacy</w:t>
      </w:r>
    </w:p>
    <w:p w14:paraId="1B4098E2">
      <w:pPr>
        <w:jc w:val="both"/>
      </w:pPr>
      <w:r>
        <w:rPr>
          <w:rFonts w:ascii="Times New Roman" w:hAnsi="Times New Roman"/>
          <w:b w:val="0"/>
          <w:i w:val="0"/>
          <w:color w:val="000000"/>
        </w:rPr>
        <w:t>Food supply-chain information can include commercially sensitive data such as supplier identity, shipment routes, inventory levels, and product volumes. The platform should therefore follow least-privilege access. Users should see only the data required for their role. Sensitive raw data should remain in protected off-chain storage, while the ledger stores references and commitments. Encryption, credential management, key rotation, device authentication, and audit logs should be implemented as standard security controls.</w:t>
      </w:r>
    </w:p>
    <w:p w14:paraId="05673177">
      <w:pPr>
        <w:pStyle w:val="3"/>
        <w:jc w:val="both"/>
      </w:pPr>
      <w:r>
        <w:rPr>
          <w:rFonts w:ascii="Times New Roman" w:hAnsi="Times New Roman"/>
          <w:color w:val="000000"/>
        </w:rPr>
        <w:t>9.5 Sustainability through Food-Loss Reduction</w:t>
      </w:r>
    </w:p>
    <w:p w14:paraId="43D8BEBF">
      <w:pPr>
        <w:jc w:val="both"/>
      </w:pPr>
      <w:r>
        <w:rPr>
          <w:rFonts w:ascii="Times New Roman" w:hAnsi="Times New Roman"/>
          <w:b w:val="0"/>
          <w:i w:val="0"/>
          <w:color w:val="000000"/>
        </w:rPr>
        <w:t>Food waste represents both an economic and environmental problem. If a monitoring system can identify a deteriorating shipment early, operators may be able to intervene before the product becomes unusable. A more precise recall can also prevent unnecessary disposal of unaffected inventory. The sustainability benefit should be measured using actual avoided waste rather than assumed. Metrics can include kilograms of product saved, percentage reduction in discarded inventory, transport miles avoided, and avoided embedded emissions.</w:t>
      </w:r>
    </w:p>
    <w:p w14:paraId="37925FE0">
      <w:pPr>
        <w:pStyle w:val="3"/>
        <w:jc w:val="both"/>
      </w:pPr>
      <w:r>
        <w:rPr>
          <w:rFonts w:ascii="Times New Roman" w:hAnsi="Times New Roman"/>
          <w:color w:val="000000"/>
        </w:rPr>
        <w:t>9.6 Refrigeration Energy Efficiency</w:t>
      </w:r>
    </w:p>
    <w:p w14:paraId="14F594A5">
      <w:pPr>
        <w:jc w:val="both"/>
      </w:pPr>
      <w:r>
        <w:rPr>
          <w:rFonts w:ascii="Times New Roman" w:hAnsi="Times New Roman"/>
          <w:b w:val="0"/>
          <w:i w:val="0"/>
          <w:color w:val="000000"/>
        </w:rPr>
        <w:t>Cold storage consumes significant energy. Predictive monitoring can support efficient operation by identifying periods in which equipment is likely to experience thermal stress and by preventing excessive refrigeration caused by unnecessary safety margins. However, energy optimization must remain constrained by food-quality requirements. The platform should therefore prioritize safety and quality constraints and optimize energy within the permitted operating region.</w:t>
      </w:r>
    </w:p>
    <w:p w14:paraId="5141CCB1">
      <w:pPr>
        <w:pStyle w:val="3"/>
        <w:jc w:val="both"/>
      </w:pPr>
      <w:r>
        <w:rPr>
          <w:rFonts w:ascii="Times New Roman" w:hAnsi="Times New Roman"/>
          <w:color w:val="000000"/>
        </w:rPr>
        <w:t>9.7 Environmental Cost of Digital Infrastructure</w:t>
      </w:r>
    </w:p>
    <w:p w14:paraId="1CB1D3DA">
      <w:pPr>
        <w:jc w:val="both"/>
      </w:pPr>
      <w:r>
        <w:rPr>
          <w:rFonts w:ascii="Times New Roman" w:hAnsi="Times New Roman"/>
          <w:b w:val="0"/>
          <w:i w:val="0"/>
          <w:color w:val="000000"/>
        </w:rPr>
        <w:t>Digital systems also consume energy. Sensor networks require batteries, gateways perform computation, cloud systems store data, and blockchain nodes replicate transactions. The proposed hybrid design reduces unnecessary ledger replication and allows edge aggregation before transmission. Future evaluation should calculate the energy consumed by the digital monitoring system and compare it with the food waste and energy savings enabled by the platform. Sustainability should therefore be evaluated as a complete lifecycle balance rather than as an assumed benefit of digitalization.</w:t>
      </w:r>
    </w:p>
    <w:p w14:paraId="693D1346">
      <w:pPr>
        <w:rPr>
          <w:rFonts w:ascii="Times New Roman" w:hAnsi="Times New Roman"/>
          <w:color w:val="000000"/>
        </w:rPr>
      </w:pPr>
      <w:r>
        <w:rPr>
          <w:rFonts w:ascii="Times New Roman" w:hAnsi="Times New Roman"/>
          <w:color w:val="000000"/>
        </w:rPr>
        <w:br w:type="page"/>
      </w:r>
    </w:p>
    <w:p w14:paraId="14509E1A">
      <w:pPr>
        <w:pStyle w:val="2"/>
        <w:jc w:val="both"/>
      </w:pPr>
      <w:r>
        <w:rPr>
          <w:rFonts w:ascii="Times New Roman" w:hAnsi="Times New Roman"/>
          <w:color w:val="000000"/>
        </w:rPr>
        <w:t>10. Future Research Directions</w:t>
      </w:r>
    </w:p>
    <w:p w14:paraId="5EC04F82">
      <w:pPr>
        <w:pStyle w:val="3"/>
        <w:jc w:val="both"/>
      </w:pPr>
      <w:r>
        <w:rPr>
          <w:rFonts w:ascii="Times New Roman" w:hAnsi="Times New Roman"/>
          <w:color w:val="000000"/>
        </w:rPr>
        <w:t>10.1 Standardized Multimodal Datasets</w:t>
      </w:r>
    </w:p>
    <w:p w14:paraId="52066EB2">
      <w:pPr>
        <w:jc w:val="both"/>
      </w:pPr>
      <w:r>
        <w:rPr>
          <w:rFonts w:ascii="Times New Roman" w:hAnsi="Times New Roman"/>
          <w:b w:val="0"/>
          <w:i w:val="0"/>
          <w:color w:val="000000"/>
        </w:rPr>
        <w:t>Future research requires datasets that combine temperature, humidity, location, door activity, equipment state, product identity, handling events, and validated quality outcomes. Current datasets are often narrow and commodity-specific. A benchmark containing multiple product categories and realistic disturbances would enable meaningful comparison of Bi-LSTM, transformer-based, statistical, and hybrid physical-data models.</w:t>
      </w:r>
    </w:p>
    <w:p w14:paraId="4887F237">
      <w:pPr>
        <w:pStyle w:val="3"/>
        <w:jc w:val="both"/>
      </w:pPr>
      <w:r>
        <w:rPr>
          <w:rFonts w:ascii="Times New Roman" w:hAnsi="Times New Roman"/>
          <w:color w:val="000000"/>
        </w:rPr>
        <w:t>10.2 Physics-Informed and Hybrid Models</w:t>
      </w:r>
    </w:p>
    <w:p w14:paraId="18BF8D07">
      <w:pPr>
        <w:jc w:val="both"/>
      </w:pPr>
      <w:r>
        <w:rPr>
          <w:rFonts w:ascii="Times New Roman" w:hAnsi="Times New Roman"/>
          <w:b w:val="0"/>
          <w:i w:val="0"/>
          <w:color w:val="000000"/>
        </w:rPr>
        <w:t>The Arrhenius relationship provides a physical basis for deterioration modeling. Future models can combine kinetic equations with neural networks. The neural component can learn residual behavior not captured by the physical model, while the physical component constrains predictions to plausible behavior. Such hybrid modeling may improve generalization when labeled data are limited.</w:t>
      </w:r>
    </w:p>
    <w:p w14:paraId="7D375D08">
      <w:pPr>
        <w:pStyle w:val="3"/>
        <w:jc w:val="both"/>
      </w:pPr>
      <w:r>
        <w:rPr>
          <w:rFonts w:ascii="Times New Roman" w:hAnsi="Times New Roman"/>
          <w:color w:val="000000"/>
        </w:rPr>
        <w:t>10.3 Uncertainty-Aware AI</w:t>
      </w:r>
    </w:p>
    <w:p w14:paraId="50D8518C">
      <w:pPr>
        <w:jc w:val="both"/>
      </w:pPr>
      <w:r>
        <w:rPr>
          <w:rFonts w:ascii="Times New Roman" w:hAnsi="Times New Roman"/>
          <w:b w:val="0"/>
          <w:i w:val="0"/>
          <w:color w:val="000000"/>
        </w:rPr>
        <w:t>Future systems should report uncertainty instead of only point predictions. A model that is uncertain because the current conditions differ substantially from its training distribution should not produce the same operational recommendation as a highly confident prediction. Conformal prediction, probabilistic recurrent models, calibrated ensembles, and uncertainty thresholds are promising directions.</w:t>
      </w:r>
    </w:p>
    <w:p w14:paraId="5E5642AF">
      <w:pPr>
        <w:pStyle w:val="3"/>
        <w:jc w:val="both"/>
      </w:pPr>
      <w:r>
        <w:rPr>
          <w:rFonts w:ascii="Times New Roman" w:hAnsi="Times New Roman"/>
          <w:color w:val="000000"/>
        </w:rPr>
        <w:t>10.4 Federated and Privacy-Preserving Learning</w:t>
      </w:r>
    </w:p>
    <w:p w14:paraId="5C972F87">
      <w:pPr>
        <w:jc w:val="both"/>
      </w:pPr>
      <w:r>
        <w:rPr>
          <w:rFonts w:ascii="Times New Roman" w:hAnsi="Times New Roman"/>
          <w:b w:val="0"/>
          <w:i w:val="0"/>
          <w:color w:val="000000"/>
        </w:rPr>
        <w:t>Organizations may not be willing to share raw supply-chain data. Federated learning could allow model training across organizations without centralizing raw measurements. The architecture could maintain local data while sharing model updates. Future work should investigate whether federated learning can improve cross-company generalization while preserving commercial confidentiality.</w:t>
      </w:r>
    </w:p>
    <w:p w14:paraId="19C08525">
      <w:pPr>
        <w:pStyle w:val="3"/>
        <w:jc w:val="both"/>
      </w:pPr>
      <w:r>
        <w:rPr>
          <w:rFonts w:ascii="Times New Roman" w:hAnsi="Times New Roman"/>
          <w:color w:val="000000"/>
        </w:rPr>
        <w:t>10.5 Digital Twins</w:t>
      </w:r>
    </w:p>
    <w:p w14:paraId="53D8A1AB">
      <w:pPr>
        <w:jc w:val="both"/>
      </w:pPr>
      <w:r>
        <w:rPr>
          <w:rFonts w:ascii="Times New Roman" w:hAnsi="Times New Roman"/>
          <w:b w:val="0"/>
          <w:i w:val="0"/>
          <w:color w:val="000000"/>
        </w:rPr>
        <w:t>A digital twin of a refrigerated vehicle, storage chamber, or product could provide a richer representation of physical state. Sensor observations would continuously update the twin, while a physical model would estimate unobserved conditions. AI could then learn the difference between predicted and observed behavior. This may reduce the number of sensors required while maintaining useful environmental estimates.</w:t>
      </w:r>
    </w:p>
    <w:p w14:paraId="28FFFE47">
      <w:pPr>
        <w:pStyle w:val="3"/>
        <w:jc w:val="both"/>
      </w:pPr>
      <w:r>
        <w:rPr>
          <w:rFonts w:ascii="Times New Roman" w:hAnsi="Times New Roman"/>
          <w:color w:val="000000"/>
        </w:rPr>
        <w:t>10.6 Interoperability Standards</w:t>
      </w:r>
    </w:p>
    <w:p w14:paraId="6B99956D">
      <w:pPr>
        <w:jc w:val="both"/>
      </w:pPr>
      <w:r>
        <w:rPr>
          <w:rFonts w:ascii="Times New Roman" w:hAnsi="Times New Roman"/>
          <w:b w:val="0"/>
          <w:i w:val="0"/>
          <w:color w:val="000000"/>
        </w:rPr>
        <w:t>Future implementations should map the event model to established supply-chain identification and interoperability standards. Interoperability testing should cover product identifiers, custody events, transformation events, location identifiers, sensor data, and compliance records. The goal should be to make the platform compatible with existing enterprise systems rather than requiring organizations to replace all existing software.</w:t>
      </w:r>
    </w:p>
    <w:p w14:paraId="069E9F5A">
      <w:pPr>
        <w:pStyle w:val="3"/>
        <w:jc w:val="both"/>
      </w:pPr>
      <w:r>
        <w:rPr>
          <w:rFonts w:ascii="Times New Roman" w:hAnsi="Times New Roman"/>
          <w:color w:val="000000"/>
        </w:rPr>
        <w:t>10.7 Field Deployment</w:t>
      </w:r>
    </w:p>
    <w:p w14:paraId="1BB9C5B2">
      <w:pPr>
        <w:jc w:val="both"/>
      </w:pPr>
      <w:r>
        <w:rPr>
          <w:rFonts w:ascii="Times New Roman" w:hAnsi="Times New Roman"/>
          <w:b w:val="0"/>
          <w:i w:val="0"/>
          <w:color w:val="000000"/>
        </w:rPr>
        <w:t>The final stage of research should be field validation. A pilot deployment should monitor real shipments across multiple seasons and compare the proposed system with existing practices. The evaluation should include operational cost, alert lead time, false-alarm rate, avoided waste, energy consumption, user workload, and audit time. These measurements would provide evidence about whether the architecture is commercially and operationally useful.</w:t>
      </w:r>
    </w:p>
    <w:p w14:paraId="388793F2">
      <w:pPr>
        <w:pStyle w:val="2"/>
        <w:jc w:val="both"/>
      </w:pPr>
      <w:r>
        <w:rPr>
          <w:rFonts w:ascii="Times New Roman" w:hAnsi="Times New Roman"/>
          <w:color w:val="000000"/>
        </w:rPr>
        <w:t>11. Conclusion</w:t>
      </w:r>
    </w:p>
    <w:p w14:paraId="5BA20730">
      <w:pPr>
        <w:jc w:val="both"/>
      </w:pPr>
      <w:r>
        <w:rPr>
          <w:rFonts w:ascii="Times New Roman" w:hAnsi="Times New Roman"/>
          <w:b w:val="0"/>
          <w:i w:val="0"/>
          <w:color w:val="000000"/>
        </w:rPr>
        <w:t>This research paper presented an integrated software architecture for AI-based food supply chain traceability and quality monitoring. The central argument is that food traceability should not be treated as a simple database of shipment records. A modern platform must connect physical conditions, product identity, predictive analysis, custody events, compliance rules, and evidence integrity. IoT provides the observation mechanism, edge computing provides low-latency processing, Bi-LSTM provides temporal prediction, deterministic rules provide controlled compliance logic, operational databases provide scalable telemetry storage, and blockchain provides shared tamper-evident evidence.</w:t>
      </w:r>
    </w:p>
    <w:p w14:paraId="31410574">
      <w:pPr>
        <w:jc w:val="both"/>
      </w:pPr>
      <w:r>
        <w:rPr>
          <w:rFonts w:ascii="Times New Roman" w:hAnsi="Times New Roman"/>
          <w:b w:val="0"/>
          <w:i w:val="0"/>
          <w:color w:val="000000"/>
        </w:rPr>
        <w:t>The literature survey demonstrates that each technology has already been studied in food logistics, but integration remains incomplete. Recent reviews identify blockchain, IoT, AI, RFID, cloud computing, and other Industry 4.0 technologies as important components of digital food traceability. More recent studies have begun integrating AI, IoT, blockchain, and smart contracts, including work on predictive spoilage risk and automated compliance. Nevertheless, the literature continues to show gaps in sensor trust, scalability, uncertainty handling, governance, and real-world validation. [1–5,11–14]</w:t>
      </w:r>
    </w:p>
    <w:p w14:paraId="1B039EB7">
      <w:pPr>
        <w:jc w:val="both"/>
      </w:pPr>
      <w:r>
        <w:rPr>
          <w:rFonts w:ascii="Times New Roman" w:hAnsi="Times New Roman"/>
          <w:b w:val="0"/>
          <w:i w:val="0"/>
          <w:color w:val="000000"/>
        </w:rPr>
        <w:t>The proposed architecture responds to these gaps through a hybrid design. Detailed sensor streams remain in operational storage. Cryptographic commitments and critical events are written to a permissioned ledger. The Bi-LSTM model operates at the edge and provides early warning rather than replacing regulatory judgment. Smart contracts automate deterministic state transitions while human approval remains available for consequential decisions. The Arrhenius formulation and cumulative exposure features connect data-driven prediction to physical deterioration mechanisms.</w:t>
      </w:r>
    </w:p>
    <w:p w14:paraId="4C565C47">
      <w:pPr>
        <w:jc w:val="both"/>
      </w:pPr>
      <w:r>
        <w:rPr>
          <w:rFonts w:ascii="Times New Roman" w:hAnsi="Times New Roman"/>
          <w:b w:val="0"/>
          <w:i w:val="0"/>
          <w:color w:val="000000"/>
        </w:rPr>
        <w:t>The value of the platform should ultimately be demonstrated through measurable outcomes rather than through the number of technologies included. Important outcomes are earlier detection of environmental deterioration, faster recall isolation, stronger audit evidence, lower unnecessary food waste, improved cold-storage efficiency, and controlled operational cost. The proposed system provides a foundation for future prototype implementation and field research in which these outcomes can be measured under realistic food logistics conditions.</w:t>
      </w:r>
    </w:p>
    <w:p w14:paraId="44B3BCE4">
      <w:pPr>
        <w:rPr>
          <w:rFonts w:ascii="Times New Roman" w:hAnsi="Times New Roman"/>
          <w:color w:val="000000"/>
        </w:rPr>
      </w:pPr>
      <w:r>
        <w:rPr>
          <w:rFonts w:ascii="Times New Roman" w:hAnsi="Times New Roman"/>
          <w:color w:val="000000"/>
        </w:rPr>
        <w:br w:type="page"/>
      </w:r>
    </w:p>
    <w:p w14:paraId="7627CE2E">
      <w:pPr>
        <w:pStyle w:val="2"/>
        <w:jc w:val="both"/>
      </w:pPr>
      <w:bookmarkStart w:id="0" w:name="_GoBack"/>
      <w:bookmarkEnd w:id="0"/>
      <w:r>
        <w:rPr>
          <w:rFonts w:ascii="Times New Roman" w:hAnsi="Times New Roman"/>
          <w:color w:val="000000"/>
        </w:rPr>
        <w:t>References</w:t>
      </w:r>
    </w:p>
    <w:p w14:paraId="0C6A748A">
      <w:pPr>
        <w:jc w:val="both"/>
      </w:pPr>
      <w:r>
        <w:rPr>
          <w:rFonts w:ascii="Times New Roman" w:hAnsi="Times New Roman"/>
          <w:b w:val="0"/>
          <w:i w:val="0"/>
          <w:color w:val="000000"/>
        </w:rPr>
        <w:t>[1] R. M. Ellahi, L. C. Wood, and A.-D. A. Bekhit, “Blockchain-Based Frameworks for Food Traceability: A Systematic Review,” Foods, vol. 12, no. 16, 3026, 2023. doi:10.3390/foods12163026.</w:t>
      </w:r>
    </w:p>
    <w:p w14:paraId="5A2D00E6">
      <w:pPr>
        <w:jc w:val="both"/>
      </w:pPr>
      <w:r>
        <w:rPr>
          <w:rFonts w:ascii="Times New Roman" w:hAnsi="Times New Roman"/>
          <w:b w:val="0"/>
          <w:i w:val="0"/>
          <w:color w:val="000000"/>
        </w:rPr>
        <w:t>[2] A. Kaur, G. Singh, V. Kukreja, S. Sharma, S. Singh, and B. Yoon, “Adaptation of IoT with Blockchain in Food Supply Chain Management: An Analysis-Based Review in Development, Benefits and Potential Applications,” Sensors, vol. 22, no. 21, 8174, 2022. doi:10.3390/s22218174.</w:t>
      </w:r>
    </w:p>
    <w:p w14:paraId="2650EECF">
      <w:pPr>
        <w:jc w:val="both"/>
      </w:pPr>
      <w:r>
        <w:rPr>
          <w:rFonts w:ascii="Times New Roman" w:hAnsi="Times New Roman"/>
          <w:b w:val="0"/>
          <w:i w:val="0"/>
          <w:color w:val="000000"/>
        </w:rPr>
        <w:t>[3] Q. Yu, M. Zhang, and A. S. Mujumdar, “Blockchain-based fresh food quality traceability and dynamic monitoring: Research progress and application perspectives,” Computers and Electronics in Agriculture, vol. 224, 109191, 2024. doi:10.1016/j.compag.2024.109191.</w:t>
      </w:r>
    </w:p>
    <w:p w14:paraId="5B5E53E2">
      <w:pPr>
        <w:jc w:val="both"/>
      </w:pPr>
      <w:r>
        <w:rPr>
          <w:rFonts w:ascii="Times New Roman" w:hAnsi="Times New Roman"/>
          <w:b w:val="0"/>
          <w:i w:val="0"/>
          <w:color w:val="000000"/>
        </w:rPr>
        <w:t>[4] A. Pakseresht, S. Ahmadi Kaliji, and K. Hakelius, “Blockchain technology characteristics essential for the agri-food sector: A systematic review,” Food Control, vol. 165, 110661, 2024. doi:10.1016/j.foodcont.2024.110661.</w:t>
      </w:r>
    </w:p>
    <w:p w14:paraId="0C8C1B12">
      <w:pPr>
        <w:jc w:val="both"/>
      </w:pPr>
      <w:r>
        <w:rPr>
          <w:rFonts w:ascii="Times New Roman" w:hAnsi="Times New Roman"/>
          <w:b w:val="0"/>
          <w:i w:val="0"/>
          <w:color w:val="000000"/>
        </w:rPr>
        <w:t>[5] S. V. Hema, “Blockchain implementation for food safety in supply chain: A review,” Comprehensive Reviews in Food Science and Food Safety, 2024. doi:10.1111/1541-4337.70002.</w:t>
      </w:r>
    </w:p>
    <w:p w14:paraId="34494F7D">
      <w:pPr>
        <w:jc w:val="both"/>
      </w:pPr>
      <w:r>
        <w:rPr>
          <w:rFonts w:ascii="Times New Roman" w:hAnsi="Times New Roman"/>
          <w:b w:val="0"/>
          <w:i w:val="0"/>
          <w:color w:val="000000"/>
        </w:rPr>
        <w:t>[6] “Environmental Prediction in Cold Chain Transportation of Agricultural Products Based on K-Means++ and LSTM Neural Network,” Processes, vol. 11, no. 3, 776, 2023.</w:t>
      </w:r>
    </w:p>
    <w:p w14:paraId="5E8C56F7">
      <w:pPr>
        <w:jc w:val="both"/>
      </w:pPr>
      <w:r>
        <w:rPr>
          <w:rFonts w:ascii="Times New Roman" w:hAnsi="Times New Roman"/>
          <w:b w:val="0"/>
          <w:i w:val="0"/>
          <w:color w:val="000000"/>
        </w:rPr>
        <w:t>[7] “Temperature Prediction of a Temperature-Controlled Container with Cold Energy Storage System Based on Long Short-Term Memory Neural Network,” Applied Sciences, vol. 14, no. 2, 854, 2024.</w:t>
      </w:r>
    </w:p>
    <w:p w14:paraId="6EC4C9E0">
      <w:pPr>
        <w:jc w:val="both"/>
      </w:pPr>
      <w:r>
        <w:rPr>
          <w:rFonts w:ascii="Times New Roman" w:hAnsi="Times New Roman"/>
          <w:b w:val="0"/>
          <w:i w:val="0"/>
          <w:color w:val="000000"/>
        </w:rPr>
        <w:t>[8] “Development of deep learning artificial neural networks models to predict temperature and power demand variation for demand response application in cold storage,” International Journal of Refrigeration, 2021.</w:t>
      </w:r>
    </w:p>
    <w:p w14:paraId="3FA98525">
      <w:pPr>
        <w:jc w:val="both"/>
      </w:pPr>
      <w:r>
        <w:rPr>
          <w:rFonts w:ascii="Times New Roman" w:hAnsi="Times New Roman"/>
          <w:b w:val="0"/>
          <w:i w:val="0"/>
          <w:color w:val="000000"/>
        </w:rPr>
        <w:t>[9] “A Decision Support Model for Cost-Effective Choice of Temperature-Controlled Transport of Fresh Food,” Sustainability, vol. 15, no. 8, 6821, 2023.</w:t>
      </w:r>
    </w:p>
    <w:p w14:paraId="28DDC25C">
      <w:pPr>
        <w:jc w:val="both"/>
      </w:pPr>
      <w:r>
        <w:rPr>
          <w:rFonts w:ascii="Times New Roman" w:hAnsi="Times New Roman"/>
          <w:b w:val="0"/>
          <w:i w:val="0"/>
          <w:color w:val="000000"/>
        </w:rPr>
        <w:t>[10] “Overview of Food Preservation and Traceability Technology in the Smart Cold Chain System,” Foods, vol. 12, no. 15, 2881, 2023.</w:t>
      </w:r>
    </w:p>
    <w:p w14:paraId="04E79D9A">
      <w:pPr>
        <w:jc w:val="both"/>
      </w:pPr>
      <w:r>
        <w:rPr>
          <w:rFonts w:ascii="Times New Roman" w:hAnsi="Times New Roman"/>
          <w:b w:val="0"/>
          <w:i w:val="0"/>
          <w:color w:val="000000"/>
        </w:rPr>
        <w:t>[11] V. Gupta et al., “Blockchain-Assisted IoT Framework for Reliable Monitoring and Predictive Analytics in Perishable Food Supply Chains,” Journal of Food Process Engineering, first published January 6, 2026. doi:10.1111/jfpe.70333.</w:t>
      </w:r>
    </w:p>
    <w:p w14:paraId="4053F665">
      <w:pPr>
        <w:jc w:val="both"/>
      </w:pPr>
      <w:r>
        <w:rPr>
          <w:rFonts w:ascii="Times New Roman" w:hAnsi="Times New Roman"/>
          <w:b w:val="0"/>
          <w:i w:val="0"/>
          <w:color w:val="000000"/>
        </w:rPr>
        <w:t>[12] “Blockchain-enabled traceability and certification for frozen food supply chains: A conceptual design,” Smart Agricultural Technology, vol. 12, 101085, 2025. doi:10.1016/j.atech.2025.101085.</w:t>
      </w:r>
    </w:p>
    <w:p w14:paraId="598119C3">
      <w:pPr>
        <w:jc w:val="both"/>
      </w:pPr>
      <w:r>
        <w:rPr>
          <w:rFonts w:ascii="Times New Roman" w:hAnsi="Times New Roman"/>
          <w:b w:val="0"/>
          <w:i w:val="0"/>
          <w:color w:val="000000"/>
        </w:rPr>
        <w:t>[13] “Integrating AI with detection methods, IoT, and blockchain to achieve food authenticity and traceability from farm-to-table,” Trends in Food Science &amp; Technology, vol. 158, 104925, 2025. doi:10.1016/j.tifs.2025.104925.</w:t>
      </w:r>
    </w:p>
    <w:p w14:paraId="6AB64872">
      <w:pPr>
        <w:jc w:val="both"/>
      </w:pPr>
      <w:r>
        <w:rPr>
          <w:rFonts w:ascii="Times New Roman" w:hAnsi="Times New Roman"/>
          <w:b w:val="0"/>
          <w:i w:val="0"/>
          <w:color w:val="000000"/>
        </w:rPr>
        <w:t>[14] “Integrated AI, IoT, and Blockchain for Enhancing Security and Traceability in Perishable Logistics,” Emerging Science Journal, vol. 9, no. 5, 2025.</w:t>
      </w:r>
    </w:p>
    <w:p w14:paraId="404292F4">
      <w:pPr>
        <w:jc w:val="both"/>
      </w:pPr>
      <w:r>
        <w:rPr>
          <w:rFonts w:ascii="Times New Roman" w:hAnsi="Times New Roman"/>
          <w:b w:val="0"/>
          <w:i w:val="0"/>
          <w:color w:val="000000"/>
        </w:rPr>
        <w:t>[15] “Digital twin integration for dynamic quality loss control in fruit supply chains,” Journal of Food Engineering, 2025.</w:t>
      </w:r>
    </w:p>
    <w:p w14:paraId="6485A7CC">
      <w:pPr>
        <w:jc w:val="both"/>
      </w:pPr>
      <w:r>
        <w:rPr>
          <w:rFonts w:ascii="Times New Roman" w:hAnsi="Times New Roman"/>
          <w:b w:val="0"/>
          <w:i w:val="0"/>
          <w:color w:val="000000"/>
        </w:rPr>
        <w:t>[16] “Blockchain and Smart Contracts Based Agricultural Supply Chain,” Procedia Computer Science, vol. 237, pp. 637–644, 2024. doi:10.1016/j.procs.2024.05.149.</w:t>
      </w:r>
    </w:p>
    <w:p w14:paraId="1F4A6B3B">
      <w:pPr>
        <w:jc w:val="both"/>
      </w:pPr>
      <w:r>
        <w:rPr>
          <w:rFonts w:ascii="Times New Roman" w:hAnsi="Times New Roman"/>
          <w:b w:val="0"/>
          <w:i w:val="0"/>
          <w:color w:val="000000"/>
        </w:rPr>
        <w:t>[17] V. Chunduri et al., “Blockchain-based secure optimized traceable scheme for smart and sustainable food supply chain,” Discover Sustainability, vol. 5, article 110, 2024.</w:t>
      </w:r>
    </w:p>
    <w:p w14:paraId="5508E188">
      <w:pPr>
        <w:jc w:val="both"/>
      </w:pPr>
      <w:r>
        <w:rPr>
          <w:rFonts w:ascii="Times New Roman" w:hAnsi="Times New Roman"/>
          <w:b w:val="0"/>
          <w:i w:val="0"/>
          <w:color w:val="000000"/>
        </w:rPr>
        <w:t>[18] “Advances in smart food authentication for enhanced safety and quality,” Trends in Food Science &amp; Technology, 2024. doi:10.1016/j.tifs.2024.104800.</w:t>
      </w:r>
    </w:p>
    <w:p w14:paraId="671A81D7">
      <w:pPr>
        <w:jc w:val="both"/>
      </w:pPr>
      <w:r>
        <w:rPr>
          <w:rFonts w:ascii="Times New Roman" w:hAnsi="Times New Roman"/>
          <w:b w:val="0"/>
          <w:i w:val="0"/>
          <w:color w:val="000000"/>
        </w:rPr>
        <w:t>[19] “Redefining food safety: the confluence of Web 3.0 and AI technologies in the meat supply chain—a systematic review,” International Journal of Food Science &amp; Technology, 2024.</w:t>
      </w:r>
    </w:p>
    <w:p w14:paraId="55E93DA6">
      <w:pPr>
        <w:jc w:val="both"/>
      </w:pPr>
      <w:r>
        <w:rPr>
          <w:rFonts w:ascii="Times New Roman" w:hAnsi="Times New Roman"/>
          <w:b w:val="0"/>
          <w:i w:val="0"/>
          <w:color w:val="000000"/>
        </w:rPr>
        <w:t>[20] “AI-Enabled Efficient and Safe Food Supply Chain,” Electronics, vol. 10, no. 11, 1223, 2021. doi:10.3390/electronics10111223.</w:t>
      </w:r>
    </w:p>
    <w:p w14:paraId="2EB102CD">
      <w:pPr>
        <w:jc w:val="both"/>
      </w:pPr>
      <w:r>
        <w:rPr>
          <w:rFonts w:ascii="Times New Roman" w:hAnsi="Times New Roman"/>
          <w:b w:val="0"/>
          <w:i w:val="0"/>
          <w:color w:val="000000"/>
        </w:rPr>
        <w:t>[21] “Egg Freshness Prediction Model Using Real-Time Cold Chain Storage Condition Based on Transfer Learning,” Foods, vol. 11, no. 19, 3082, 2022.</w:t>
      </w:r>
    </w:p>
    <w:p w14:paraId="61073E3B">
      <w:pPr>
        <w:jc w:val="both"/>
      </w:pPr>
      <w:r>
        <w:rPr>
          <w:rFonts w:ascii="Times New Roman" w:hAnsi="Times New Roman"/>
          <w:b w:val="0"/>
          <w:i w:val="0"/>
          <w:color w:val="000000"/>
        </w:rPr>
        <w:t>[22] X. Meng, R. Xie, J. Liao, X. Shen, and S. Yang, “A cost-effective over-temperature alarm system for cold chain delivery,” Journal of Food Engineering, vol. 368, 111914, 2024.</w:t>
      </w:r>
    </w:p>
    <w:p w14:paraId="3B9A4421">
      <w:pPr>
        <w:jc w:val="both"/>
      </w:pPr>
      <w:r>
        <w:rPr>
          <w:rFonts w:ascii="Times New Roman" w:hAnsi="Times New Roman"/>
          <w:b w:val="0"/>
          <w:i w:val="0"/>
          <w:color w:val="000000"/>
        </w:rPr>
        <w:t>[23] A. Tang et al., “Assessing blockchain and IoT technologies for agricultural food supply chains in Africa: A feasibility analysis,” Heliyon, vol. 10, no. 15, e34584, 2024.</w:t>
      </w:r>
    </w:p>
    <w:p w14:paraId="2B782508">
      <w:pPr>
        <w:jc w:val="both"/>
      </w:pPr>
      <w:r>
        <w:rPr>
          <w:rFonts w:ascii="Times New Roman" w:hAnsi="Times New Roman"/>
          <w:b w:val="0"/>
          <w:i w:val="0"/>
          <w:color w:val="000000"/>
        </w:rPr>
        <w:t>[24] U.S. Food and Drug Administration, “Requirements for Additional Traceability Records for Certain Foods,” Food Safety Modernization Act, Food Traceability Final Rule.</w:t>
      </w:r>
    </w:p>
    <w:p w14:paraId="2303461B">
      <w:pPr>
        <w:jc w:val="both"/>
      </w:pPr>
      <w:r>
        <w:rPr>
          <w:rFonts w:ascii="Times New Roman" w:hAnsi="Times New Roman"/>
          <w:b w:val="0"/>
          <w:i w:val="0"/>
          <w:color w:val="000000"/>
        </w:rPr>
        <w:t>[25] Codex Alimentarius Commission, “General Principles of Food Hygiene CXC 1-1969,” FAO/WHO, revised edition.</w:t>
      </w:r>
    </w:p>
    <w:sectPr>
      <w:footerReference r:id="rId5" w:type="default"/>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 w:name="-webkit-standard">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843A8">
    <w:pPr>
      <w:pStyle w:val="18"/>
      <w:jc w:val="center"/>
    </w:pPr>
    <w:r>
      <w:rPr>
        <w:rFonts w:ascii="Times New Roman" w:hAnsi="Times New Roman"/>
        <w:color w:val="000000"/>
        <w:sz w:val="16"/>
      </w:rPr>
      <w:t>AI-Based Smart Food Supply Chain Traceability and Quality Monitoring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B665A3E"/>
    <w:multiLevelType w:val="singleLevel"/>
    <w:tmpl w:val="3B665A3E"/>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EA45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40" w:line="276" w:lineRule="auto"/>
    </w:pPr>
    <w:rPr>
      <w:rFonts w:ascii="Times New Roman" w:hAnsi="Times New Roman" w:eastAsiaTheme="minorEastAsia" w:cstheme="minorBidi"/>
      <w:color w:val="000000"/>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K.Balaji 9-D</cp:lastModifiedBy>
  <dcterms:modified xsi:type="dcterms:W3CDTF">2026-08-24T08:50:09Z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DFE9A54145764081B7B3B49D653389A7_13</vt:lpwstr>
  </property>
</Properties>
</file>