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20"/>
        <w:jc w:val="center"/>
      </w:pPr>
      <w:r>
        <w:rPr>
          <w:rFonts w:ascii="Times New Roman" w:hAnsi="Times New Roman"/>
          <w:b/>
          <w:color w:val="102C57"/>
          <w:sz w:val="32"/>
        </w:rPr>
        <w:t>Topological Manifold Resonant Machine (TMRM v4.6): A Unified Non-Euclidean Wave Resonant Architecture for Continuous Predictive Modeling and Industrial Prognostics</w:t>
      </w:r>
    </w:p>
    <w:p>
      <w:pPr>
        <w:spacing w:before="40" w:after="40"/>
        <w:jc w:val="center"/>
      </w:pPr>
      <w:r>
        <w:rPr>
          <w:rFonts w:ascii="Times New Roman" w:hAnsi="Times New Roman"/>
          <w:b/>
          <w:color w:val="1E293B"/>
          <w:sz w:val="23"/>
        </w:rPr>
        <w:t>BALAJI P¹,   NAVANEETHAM V¹,   DHAVAN RG¹,   Dr. A. RAMACHANDRAN M.E., M.B.A., Ph.D.²*</w:t>
      </w:r>
    </w:p>
    <w:p>
      <w:pPr>
        <w:spacing w:before="0" w:after="240"/>
        <w:jc w:val="center"/>
      </w:pPr>
      <w:r>
        <w:rPr>
          <w:rFonts w:ascii="Times New Roman" w:hAnsi="Times New Roman"/>
          <w:i/>
          <w:color w:val="64748B"/>
          <w:sz w:val="19"/>
        </w:rPr>
        <w:t>¹ Lead Algorithm Architects &amp; Primary Research Investigators</w:t>
        <w:br/>
        <w:t>² Professor &amp; Academic Research Supervisor | Mentor &amp; Technical Guide</w:t>
        <w:br/>
        <w:t>* Corresponding Academic Supervisor: Dr. A. RAMACHANDRAN M.E., M.B.A., Ph.D.</w:t>
        <w:br/>
        <w:t>Advanced Machine Intelligence &amp; Non-Euclidean Computing Laboratory | Official Peer-Review Edition</w:t>
      </w:r>
    </w:p>
    <w:tbl>
      <w:tblPr>
        <w:tblW w:type="auto" w:w="0"/>
        <w:jc w:val="center"/>
        <w:tblLook w:firstColumn="1" w:firstRow="1" w:lastColumn="0" w:lastRow="0" w:noHBand="0" w:noVBand="1" w:val="04A0"/>
      </w:tblPr>
      <w:tblGrid>
        <w:gridCol w:w="9360"/>
      </w:tblGrid>
      <w:tr>
        <w:tc>
          <w:tcPr>
            <w:tcW w:type="dxa" w:w="9360"/>
            <w:shd w:fill="F8FAFC"/>
            <w:tcMar>
              <w:top w:w="120" w:type="dxa"/>
              <w:bottom w:w="120" w:type="dxa"/>
              <w:left w:w="160" w:type="dxa"/>
              <w:right w:w="160" w:type="dxa"/>
            </w:tcMar>
          </w:tcPr>
          <w:p>
            <w:pPr>
              <w:spacing w:before="40" w:after="40" w:line="276" w:lineRule="auto"/>
            </w:pPr>
            <w:r>
              <w:rPr>
                <w:rFonts w:ascii="Times New Roman" w:hAnsi="Times New Roman"/>
                <w:b/>
                <w:sz w:val="19"/>
              </w:rPr>
              <w:t xml:space="preserve">Abstract— </w:t>
            </w:r>
            <w:r>
              <w:rPr>
                <w:rFonts w:ascii="Times New Roman" w:hAnsi="Times New Roman"/>
                <w:sz w:val="19"/>
              </w:rPr>
              <w:t>For over two decades, tabular and clinical predictive modeling has remained dominated by orthogonal, axis-aligned decision trees (Random Forest, XGBoost, LightGBM) that induce discontinuous staircase boundaries, or computationally intensive deep neural networks requiring backpropagation through millions of parameters without finite-sample epistemic guarantees. In this paper, we introduce the Topological Manifold Resonant Machine (TMRM v4.6.0), a radically ground-up, non-Euclidean machine learning architecture developed under the research supervision and academic mentorship of Dr. A. Ramachandran M.E., M.B.A., Ph.D. TMRM reformulates tabular prediction as an acoustic standing wave resonance problem on curved Riemannian manifolds. The architecture integrates: (1) Anisotropic Riemannian metric tensor cavities G_k = (Sigma_k + epsilon*I)^(-1) equipped with Ledoit-Wolf diagonal shrinkage; (2) Multi-Axis Principal Eigenvector Wave Resonators (v_1, v_2, v_3) capturing 3D volumetric cavity vibrations; (3) Dynamic Discrete Hypercube Adaptation shifting metric weightings towards L1 Manhattan and Chebyshev boundaries on binary/categorical matrices; (4) Non-Linear Hamiltonian Mutual Rank Feature Weighting; (5) Closed-Form Class-Balanced Weighted Generalized Cross-Validation (GCV) optimal regularization; and (6) Conformal Epistemic Risk Assessment delivering finite-sample coverage guarantees. Evaluated across 10 international real-world benchmark datasets via 5-Fold Stratified Cross-Validation, TMRM v4.6 achieves decisive superiority: on Statlog Heart Disease, TMRM achieves 84.44% accuracy (crushing Random Forest, XGBoost, and LightGBM at 80.00% by +4.44%); on Banknote Wavelet Authentication, it attains 99.71% (beating XGBoost 99.64%); on 4-Class Vehicle Silhouettes, it scores 76.36% (surpassing Random Forest 73.29% and XGBoost 74.00%); on Wisconsin Breast Cancer, it delivers 96.49% accuracy and a tournament-high 99.67% ROC-AUC; on Early Stage Diabetes Risk, it records 96.15%; on Parkinson's disease, 93.85% (beating XGBoost 92.82%); and on NASA Turbofan C-MAPSS FD004, it shatters worldwide literature benchmarks with RMSE = 11.44 cycles in 1.20 ms inference latency. This treatise provides the complete theoretical foundation, mathematical proofs, forensic ablation audits, and empirical verification.</w:t>
            </w:r>
          </w:p>
        </w:tc>
      </w:tr>
    </w:tbl>
    <w:p>
      <w:pPr>
        <w:spacing w:before="120" w:after="200"/>
      </w:pPr>
      <w:r>
        <w:rPr>
          <w:rFonts w:ascii="Times New Roman" w:hAnsi="Times New Roman"/>
          <w:b/>
          <w:sz w:val="19"/>
        </w:rPr>
        <w:t xml:space="preserve">Index Terms— </w:t>
      </w:r>
      <w:r>
        <w:rPr>
          <w:rFonts w:ascii="Times New Roman" w:hAnsi="Times New Roman"/>
          <w:i/>
          <w:sz w:val="19"/>
        </w:rPr>
        <w:t>Riemannian Geometry, Wave Resonance, Multi-Axis Standing Waves, Metric Tensor, Generalized Cross-Validation, Tabular Foundation Models, Conformal Prediction, Prognostics.</w:t>
      </w:r>
    </w:p>
    <w:p>
      <w:pPr>
        <w:keepNext/>
        <w:spacing w:before="320" w:after="80"/>
      </w:pPr>
      <w:r>
        <w:rPr>
          <w:rFonts w:ascii="Times New Roman" w:hAnsi="Times New Roman"/>
          <w:b/>
          <w:color w:val="102C57"/>
          <w:sz w:val="26"/>
        </w:rPr>
        <w:t>I. INTRODUCTION &amp; MOTIVATION</w:t>
      </w:r>
    </w:p>
    <w:p>
      <w:pPr>
        <w:spacing w:before="0" w:after="100" w:line="276" w:lineRule="auto"/>
        <w:jc w:val="both"/>
      </w:pPr>
      <w:r>
        <w:rPr>
          <w:rFonts w:ascii="Times New Roman" w:hAnsi="Times New Roman"/>
          <w:b w:val="0"/>
          <w:i w:val="0"/>
          <w:sz w:val="20"/>
        </w:rPr>
        <w:t>Contemporary machine learning for tabular, biometric, and cyber-physical systems has long been constrained by an artificial dichotomy. On one side stand tree ensemble algorithms—most notably Random Forest (Breiman, 2001), XGBoost (Chen &amp; Guestrin, 2016), and LightGBM (Ke et al., 2017). While effective at recursive orthogonal partitioning, decision trees fundamentally operate by carving continuous multidimensional reality into rigid, axis-aligned hyper-rectangles. This orthogonal slicing produces unnatural staircase decision boundaries, fails to capture smooth physical trajectories, and lacks continuous gradient representation.</w:t>
      </w:r>
    </w:p>
    <w:p>
      <w:pPr>
        <w:spacing w:before="0" w:after="100" w:line="276" w:lineRule="auto"/>
        <w:jc w:val="both"/>
      </w:pPr>
      <w:r>
        <w:rPr>
          <w:rFonts w:ascii="Times New Roman" w:hAnsi="Times New Roman"/>
          <w:b w:val="0"/>
          <w:i w:val="0"/>
          <w:sz w:val="20"/>
        </w:rPr>
        <w:t>On the opposing side stand deep neural networks and multi-layer perceptrons trained via backpropagation and stochastic gradient descent (SGD). Although capable of non-linear representation, deep networks exhibit severe vulnerabilities when applied to tabular datasets: they require millions of iterative matrix multiplications, demand extensive GPU compute, suffer from internal covariate shift, lack structural awareness of local topological manifolds, and provide uncalibrated, overconfident predictions without certified epistemic bounds.</w:t>
      </w:r>
    </w:p>
    <w:p>
      <w:pPr>
        <w:spacing w:before="0" w:after="100" w:line="276" w:lineRule="auto"/>
        <w:jc w:val="both"/>
      </w:pPr>
      <w:r>
        <w:rPr>
          <w:rFonts w:ascii="Times New Roman" w:hAnsi="Times New Roman"/>
          <w:b w:val="0"/>
          <w:i w:val="0"/>
          <w:sz w:val="20"/>
        </w:rPr>
        <w:t>To overcome these foundational limitations, this research introduces the Topological Manifold Resonant Machine (TMRM v4.6.0), conceived and implemented by lead investigators Balaji P, Navaneetham V, and Dhavan RG under the academic supervision and research stewardship of Dr. A. Ramachandran M.E., M.B.A., Ph.D. TMRM re-envisions tabular predictive inference through the lens of continuous differential geometry, cavity electrodynamics, and wave mechanics. Rather than partitioning space with binary axis cuts or optimizing weights through iterative loss descent, TMRM models data points as continuous energy masses situated upon a flexible Riemannian manifold, creating potential wells whose natural harmonic vibrational modes resonate with incoming query samples in instantaneous closed-form.</w:t>
      </w:r>
    </w:p>
    <w:p>
      <w:pPr>
        <w:keepNext/>
        <w:spacing w:before="320" w:after="80"/>
      </w:pPr>
      <w:r>
        <w:rPr>
          <w:rFonts w:ascii="Times New Roman" w:hAnsi="Times New Roman"/>
          <w:b/>
          <w:color w:val="102C57"/>
          <w:sz w:val="26"/>
        </w:rPr>
        <w:t>II. MATHEMATICAL ARCHITECTURE &amp; OPERATIONAL PRINCIPLES</w:t>
      </w:r>
    </w:p>
    <w:p>
      <w:pPr>
        <w:keepNext/>
        <w:spacing w:before="220" w:after="60"/>
      </w:pPr>
      <w:r>
        <w:rPr>
          <w:rFonts w:ascii="Times New Roman" w:hAnsi="Times New Roman"/>
          <w:b/>
          <w:color w:val="1E293B"/>
          <w:sz w:val="22"/>
        </w:rPr>
        <w:t>A. Riemannian Metric Tensor &amp; Potential Well Construction</w:t>
      </w:r>
    </w:p>
    <w:p>
      <w:pPr>
        <w:spacing w:before="0" w:after="100" w:line="276" w:lineRule="auto"/>
        <w:jc w:val="both"/>
      </w:pPr>
      <w:r>
        <w:rPr>
          <w:rFonts w:ascii="Times New Roman" w:hAnsi="Times New Roman"/>
          <w:b w:val="0"/>
          <w:i w:val="0"/>
          <w:sz w:val="20"/>
        </w:rPr>
        <w:t>Let a training dataset be denoted as D = {(x_i, y_i)} for i = 1, ..., N, where x_i in R^D represents standardized feature coordinates. For each class c, data samples cluster into distinct topological neighborhoods governed by representative centroid leaders mu_k. The local geometry surrounding each centroid is characterized by an anisotropic Riemannian Metric Tensor:</w:t>
      </w:r>
    </w:p>
    <w:tbl>
      <w:tblPr>
        <w:tblW w:type="auto" w:w="0"/>
        <w:jc w:val="center"/>
        <w:tblLook w:firstColumn="1" w:firstRow="1" w:lastColumn="0" w:lastRow="0" w:noHBand="0" w:noVBand="1" w:val="04A0"/>
      </w:tblPr>
      <w:tblGrid>
        <w:gridCol w:w="4680"/>
        <w:gridCol w:w="4680"/>
      </w:tblGrid>
      <w:tr>
        <w:tc>
          <w:tcPr>
            <w:tcW w:type="dxa" w:w="8352"/>
            <w:shd w:fill="F1F5F9"/>
            <w:tcMar>
              <w:top w:w="60" w:type="dxa"/>
              <w:bottom w:w="60" w:type="dxa"/>
              <w:left w:w="100" w:type="dxa"/>
              <w:right w:w="60" w:type="dxa"/>
            </w:tcMar>
          </w:tcPr>
          <w:p>
            <w:pPr>
              <w:spacing w:before="40" w:after="40"/>
            </w:pPr>
            <w:r>
              <w:rPr>
                <w:rFonts w:ascii="Times New Roman" w:hAnsi="Times New Roman"/>
                <w:b/>
                <w:i/>
                <w:sz w:val="19"/>
              </w:rPr>
              <w:t>G_k = (Sigma_k_shrunk + epsilon * I_D)^(-1)</w:t>
            </w:r>
          </w:p>
        </w:tc>
        <w:tc>
          <w:tcPr>
            <w:tcW w:type="dxa" w:w="1008"/>
            <w:shd w:fill="F1F5F9"/>
            <w:tcMar>
              <w:top w:w="60" w:type="dxa"/>
              <w:bottom w:w="60" w:type="dxa"/>
              <w:left w:w="60" w:type="dxa"/>
              <w:right w:w="100" w:type="dxa"/>
            </w:tcMar>
          </w:tcPr>
          <w:p>
            <w:pPr>
              <w:spacing w:before="40" w:after="40"/>
              <w:jc w:val="right"/>
            </w:pPr>
            <w:r>
              <w:rPr>
                <w:rFonts w:ascii="Times New Roman" w:hAnsi="Times New Roman"/>
                <w:sz w:val="19"/>
              </w:rPr>
              <w:t>(1)</w:t>
            </w:r>
          </w:p>
        </w:tc>
      </w:tr>
    </w:tbl>
    <w:p>
      <w:pPr>
        <w:spacing w:after="40"/>
      </w:pPr>
    </w:p>
    <w:p>
      <w:pPr>
        <w:spacing w:before="0" w:after="100" w:line="276" w:lineRule="auto"/>
        <w:jc w:val="both"/>
      </w:pPr>
      <w:r>
        <w:rPr>
          <w:rFonts w:ascii="Times New Roman" w:hAnsi="Times New Roman"/>
          <w:b w:val="0"/>
          <w:i w:val="0"/>
          <w:sz w:val="20"/>
        </w:rPr>
        <w:t>where Sigma_k_shrunk incorporates Ledoit-Wolf diagonal target shrinkage to eliminate off-diagonal empirical covariance noise on small sample sizes:</w:t>
      </w:r>
    </w:p>
    <w:tbl>
      <w:tblPr>
        <w:tblW w:type="auto" w:w="0"/>
        <w:jc w:val="center"/>
        <w:tblLook w:firstColumn="1" w:firstRow="1" w:lastColumn="0" w:lastRow="0" w:noHBand="0" w:noVBand="1" w:val="04A0"/>
      </w:tblPr>
      <w:tblGrid>
        <w:gridCol w:w="4680"/>
        <w:gridCol w:w="4680"/>
      </w:tblGrid>
      <w:tr>
        <w:tc>
          <w:tcPr>
            <w:tcW w:type="dxa" w:w="8352"/>
            <w:shd w:fill="F1F5F9"/>
            <w:tcMar>
              <w:top w:w="60" w:type="dxa"/>
              <w:bottom w:w="60" w:type="dxa"/>
              <w:left w:w="100" w:type="dxa"/>
              <w:right w:w="60" w:type="dxa"/>
            </w:tcMar>
          </w:tcPr>
          <w:p>
            <w:pPr>
              <w:spacing w:before="40" w:after="40"/>
            </w:pPr>
            <w:r>
              <w:rPr>
                <w:rFonts w:ascii="Times New Roman" w:hAnsi="Times New Roman"/>
                <w:b/>
                <w:i/>
                <w:sz w:val="19"/>
              </w:rPr>
              <w:t>Sigma_k_shrunk = (1 - alpha_k) * Sigma_k + alpha_k * diag(Sigma_k)</w:t>
            </w:r>
          </w:p>
        </w:tc>
        <w:tc>
          <w:tcPr>
            <w:tcW w:type="dxa" w:w="1008"/>
            <w:shd w:fill="F1F5F9"/>
            <w:tcMar>
              <w:top w:w="60" w:type="dxa"/>
              <w:bottom w:w="60" w:type="dxa"/>
              <w:left w:w="60" w:type="dxa"/>
              <w:right w:w="100" w:type="dxa"/>
            </w:tcMar>
          </w:tcPr>
          <w:p>
            <w:pPr>
              <w:spacing w:before="40" w:after="40"/>
              <w:jc w:val="right"/>
            </w:pPr>
            <w:r>
              <w:rPr>
                <w:rFonts w:ascii="Times New Roman" w:hAnsi="Times New Roman"/>
                <w:sz w:val="19"/>
              </w:rPr>
              <w:t>(2)</w:t>
            </w:r>
          </w:p>
        </w:tc>
      </w:tr>
    </w:tbl>
    <w:p>
      <w:pPr>
        <w:spacing w:after="40"/>
      </w:pPr>
    </w:p>
    <w:p>
      <w:pPr>
        <w:spacing w:before="0" w:after="100" w:line="276" w:lineRule="auto"/>
        <w:jc w:val="both"/>
      </w:pPr>
      <w:r>
        <w:rPr>
          <w:rFonts w:ascii="Times New Roman" w:hAnsi="Times New Roman"/>
          <w:b w:val="0"/>
          <w:i w:val="0"/>
          <w:sz w:val="20"/>
        </w:rPr>
        <w:t>The geodesic Mahalanobis distance from any query point x to centroid mu_k is given by:</w:t>
      </w:r>
    </w:p>
    <w:tbl>
      <w:tblPr>
        <w:tblW w:type="auto" w:w="0"/>
        <w:jc w:val="center"/>
        <w:tblLook w:firstColumn="1" w:firstRow="1" w:lastColumn="0" w:lastRow="0" w:noHBand="0" w:noVBand="1" w:val="04A0"/>
      </w:tblPr>
      <w:tblGrid>
        <w:gridCol w:w="4680"/>
        <w:gridCol w:w="4680"/>
      </w:tblGrid>
      <w:tr>
        <w:tc>
          <w:tcPr>
            <w:tcW w:type="dxa" w:w="8352"/>
            <w:shd w:fill="F1F5F9"/>
            <w:tcMar>
              <w:top w:w="60" w:type="dxa"/>
              <w:bottom w:w="60" w:type="dxa"/>
              <w:left w:w="100" w:type="dxa"/>
              <w:right w:w="60" w:type="dxa"/>
            </w:tcMar>
          </w:tcPr>
          <w:p>
            <w:pPr>
              <w:spacing w:before="40" w:after="40"/>
            </w:pPr>
            <w:r>
              <w:rPr>
                <w:rFonts w:ascii="Times New Roman" w:hAnsi="Times New Roman"/>
                <w:b/>
                <w:i/>
                <w:sz w:val="19"/>
              </w:rPr>
              <w:t>d_M(x, mu_k) = sqrt( (x - mu_k)^T * G_k * (x - mu_k) )</w:t>
            </w:r>
          </w:p>
        </w:tc>
        <w:tc>
          <w:tcPr>
            <w:tcW w:type="dxa" w:w="1008"/>
            <w:shd w:fill="F1F5F9"/>
            <w:tcMar>
              <w:top w:w="60" w:type="dxa"/>
              <w:bottom w:w="60" w:type="dxa"/>
              <w:left w:w="60" w:type="dxa"/>
              <w:right w:w="100" w:type="dxa"/>
            </w:tcMar>
          </w:tcPr>
          <w:p>
            <w:pPr>
              <w:spacing w:before="40" w:after="40"/>
              <w:jc w:val="right"/>
            </w:pPr>
            <w:r>
              <w:rPr>
                <w:rFonts w:ascii="Times New Roman" w:hAnsi="Times New Roman"/>
                <w:sz w:val="19"/>
              </w:rPr>
              <w:t>(3)</w:t>
            </w:r>
          </w:p>
        </w:tc>
      </w:tr>
    </w:tbl>
    <w:p>
      <w:pPr>
        <w:spacing w:after="40"/>
      </w:pPr>
    </w:p>
    <w:p>
      <w:pPr>
        <w:spacing w:before="0" w:after="100" w:line="276" w:lineRule="auto"/>
        <w:jc w:val="both"/>
      </w:pPr>
      <w:r>
        <w:rPr>
          <w:rFonts w:ascii="Times New Roman" w:hAnsi="Times New Roman"/>
          <w:b w:val="0"/>
          <w:i w:val="0"/>
          <w:sz w:val="20"/>
        </w:rPr>
        <w:t>This distance establishes an anisotropic potential energy barrier V(x) = exp( -0.5 * d_M(x, mu_k)^2 / (sigma_k^2 * D) ), forming a protective cavity well around the leader.</w:t>
      </w:r>
    </w:p>
    <w:p>
      <w:pPr>
        <w:keepNext/>
        <w:spacing w:before="220" w:after="60"/>
      </w:pPr>
      <w:r>
        <w:rPr>
          <w:rFonts w:ascii="Times New Roman" w:hAnsi="Times New Roman"/>
          <w:b/>
          <w:color w:val="1E293B"/>
          <w:sz w:val="22"/>
        </w:rPr>
        <w:t>B. Multi-Axis Eigenvector Wave Resonance (v_1, v_2, v_3)</w:t>
      </w:r>
    </w:p>
    <w:p>
      <w:pPr>
        <w:spacing w:before="0" w:after="100" w:line="276" w:lineRule="auto"/>
        <w:jc w:val="both"/>
      </w:pPr>
      <w:r>
        <w:rPr>
          <w:rFonts w:ascii="Times New Roman" w:hAnsi="Times New Roman"/>
          <w:b w:val="0"/>
          <w:i w:val="0"/>
          <w:sz w:val="20"/>
        </w:rPr>
        <w:t>Within each potential cavity, standing acoustic waves are excited. In baseline formulations, waves were constrained to propagate solely along the 1st principal eigenvector v_top. In TMRM v4.6, whenever dimensionality D &gt;= 16 or classes C &gt; 2, the wave field expands into a 3D Multi-Axis Volumetric Spectrum spanning the top M = min(3, D) eigenvectors (v_1, v_2, v_3):</w:t>
      </w:r>
    </w:p>
    <w:tbl>
      <w:tblPr>
        <w:tblW w:type="auto" w:w="0"/>
        <w:jc w:val="center"/>
        <w:tblLook w:firstColumn="1" w:firstRow="1" w:lastColumn="0" w:lastRow="0" w:noHBand="0" w:noVBand="1" w:val="04A0"/>
      </w:tblPr>
      <w:tblGrid>
        <w:gridCol w:w="4680"/>
        <w:gridCol w:w="4680"/>
      </w:tblGrid>
      <w:tr>
        <w:tc>
          <w:tcPr>
            <w:tcW w:type="dxa" w:w="8352"/>
            <w:shd w:fill="F1F5F9"/>
            <w:tcMar>
              <w:top w:w="60" w:type="dxa"/>
              <w:bottom w:w="60" w:type="dxa"/>
              <w:left w:w="100" w:type="dxa"/>
              <w:right w:w="60" w:type="dxa"/>
            </w:tcMar>
          </w:tcPr>
          <w:p>
            <w:pPr>
              <w:spacing w:before="40" w:after="40"/>
            </w:pPr>
            <w:r>
              <w:rPr>
                <w:rFonts w:ascii="Times New Roman" w:hAnsi="Times New Roman"/>
                <w:b/>
                <w:i/>
                <w:sz w:val="19"/>
              </w:rPr>
              <w:t>Psi_k(x) = sum_{a=1}^M  w_a * sum_{m=1}^3  (1/m) * cos( m * omega_{k,a} * (x - mu_k)^T v_a + phi_k ) * V(x)</w:t>
            </w:r>
          </w:p>
        </w:tc>
        <w:tc>
          <w:tcPr>
            <w:tcW w:type="dxa" w:w="1008"/>
            <w:shd w:fill="F1F5F9"/>
            <w:tcMar>
              <w:top w:w="60" w:type="dxa"/>
              <w:bottom w:w="60" w:type="dxa"/>
              <w:left w:w="60" w:type="dxa"/>
              <w:right w:w="100" w:type="dxa"/>
            </w:tcMar>
          </w:tcPr>
          <w:p>
            <w:pPr>
              <w:spacing w:before="40" w:after="40"/>
              <w:jc w:val="right"/>
            </w:pPr>
            <w:r>
              <w:rPr>
                <w:rFonts w:ascii="Times New Roman" w:hAnsi="Times New Roman"/>
                <w:sz w:val="19"/>
              </w:rPr>
              <w:t>(4)</w:t>
            </w:r>
          </w:p>
        </w:tc>
      </w:tr>
    </w:tbl>
    <w:p>
      <w:pPr>
        <w:spacing w:after="40"/>
      </w:pPr>
    </w:p>
    <w:p>
      <w:pPr>
        <w:spacing w:before="0" w:after="100" w:line="276" w:lineRule="auto"/>
        <w:jc w:val="both"/>
      </w:pPr>
      <w:r>
        <w:rPr>
          <w:rFonts w:ascii="Times New Roman" w:hAnsi="Times New Roman"/>
          <w:b w:val="0"/>
          <w:i w:val="0"/>
          <w:sz w:val="20"/>
        </w:rPr>
        <w:t>where the axis weighting w_a = sqrt(lambda_a / lambda_1) is strictly proportional to the variance captured along that principal direction, and omega_{k,a} = 2*pi / (sqrt(lambda_a) + epsilon) establishes natural octave harmonics.</w:t>
      </w:r>
    </w:p>
    <w:p>
      <w:pPr>
        <w:keepNext/>
        <w:spacing w:before="220" w:after="60"/>
      </w:pPr>
      <w:r>
        <w:rPr>
          <w:rFonts w:ascii="Times New Roman" w:hAnsi="Times New Roman"/>
          <w:b/>
          <w:color w:val="1E293B"/>
          <w:sz w:val="22"/>
        </w:rPr>
        <w:t>C. Discrete Hypercube Metric Adaptation</w:t>
      </w:r>
    </w:p>
    <w:p>
      <w:pPr>
        <w:spacing w:before="0" w:after="100" w:line="276" w:lineRule="auto"/>
        <w:jc w:val="both"/>
      </w:pPr>
      <w:r>
        <w:rPr>
          <w:rFonts w:ascii="Times New Roman" w:hAnsi="Times New Roman"/>
          <w:b w:val="0"/>
          <w:i w:val="0"/>
          <w:sz w:val="20"/>
        </w:rPr>
        <w:t>When datasets comprise predominantly binary or categorical indicators (such as early stage medical symptom checklists where values are restricted to {0, 1}), smooth Euclidean metrics distort discrete Hamming transitions. TMRM v4.6 computes an intrinsic Discreteness Index:</w:t>
      </w:r>
    </w:p>
    <w:tbl>
      <w:tblPr>
        <w:tblW w:type="auto" w:w="0"/>
        <w:jc w:val="center"/>
        <w:tblLook w:firstColumn="1" w:firstRow="1" w:lastColumn="0" w:lastRow="0" w:noHBand="0" w:noVBand="1" w:val="04A0"/>
      </w:tblPr>
      <w:tblGrid>
        <w:gridCol w:w="4680"/>
        <w:gridCol w:w="4680"/>
      </w:tblGrid>
      <w:tr>
        <w:tc>
          <w:tcPr>
            <w:tcW w:type="dxa" w:w="8352"/>
            <w:shd w:fill="F1F5F9"/>
            <w:tcMar>
              <w:top w:w="60" w:type="dxa"/>
              <w:bottom w:w="60" w:type="dxa"/>
              <w:left w:w="100" w:type="dxa"/>
              <w:right w:w="60" w:type="dxa"/>
            </w:tcMar>
          </w:tcPr>
          <w:p>
            <w:pPr>
              <w:spacing w:before="40" w:after="40"/>
            </w:pPr>
            <w:r>
              <w:rPr>
                <w:rFonts w:ascii="Times New Roman" w:hAnsi="Times New Roman"/>
                <w:b/>
                <w:i/>
                <w:sz w:val="19"/>
              </w:rPr>
              <w:t>delta_D = (1/D) * sum_{j=1}^D  I(|unique(X_j)| &lt;= 4)</w:t>
            </w:r>
          </w:p>
        </w:tc>
        <w:tc>
          <w:tcPr>
            <w:tcW w:type="dxa" w:w="1008"/>
            <w:shd w:fill="F1F5F9"/>
            <w:tcMar>
              <w:top w:w="60" w:type="dxa"/>
              <w:bottom w:w="60" w:type="dxa"/>
              <w:left w:w="60" w:type="dxa"/>
              <w:right w:w="100" w:type="dxa"/>
            </w:tcMar>
          </w:tcPr>
          <w:p>
            <w:pPr>
              <w:spacing w:before="40" w:after="40"/>
              <w:jc w:val="right"/>
            </w:pPr>
            <w:r>
              <w:rPr>
                <w:rFonts w:ascii="Times New Roman" w:hAnsi="Times New Roman"/>
                <w:sz w:val="19"/>
              </w:rPr>
              <w:t>(5)</w:t>
            </w:r>
          </w:p>
        </w:tc>
      </w:tr>
    </w:tbl>
    <w:p>
      <w:pPr>
        <w:spacing w:after="40"/>
      </w:pPr>
    </w:p>
    <w:p>
      <w:pPr>
        <w:spacing w:before="0" w:after="100" w:line="276" w:lineRule="auto"/>
        <w:jc w:val="both"/>
      </w:pPr>
      <w:r>
        <w:rPr>
          <w:rFonts w:ascii="Times New Roman" w:hAnsi="Times New Roman"/>
          <w:b w:val="0"/>
          <w:i w:val="0"/>
          <w:sz w:val="20"/>
        </w:rPr>
        <w:t>When delta_D &gt; 0.50, the composite metric weights autonomously shift from continuous Riemannian dominance (0.40 L2, 0.35 Chebyshev, 0.25 L1) to Discrete Hypercube Geometry (0.25 L2, 0.35 Chebyshev, 0.40 L1 Manhattan), preserving discrete decision thresholds without boundary diffusion.</w:t>
      </w:r>
    </w:p>
    <w:p>
      <w:pPr>
        <w:keepNext/>
        <w:spacing w:before="220" w:after="60"/>
      </w:pPr>
      <w:r>
        <w:rPr>
          <w:rFonts w:ascii="Times New Roman" w:hAnsi="Times New Roman"/>
          <w:b/>
          <w:color w:val="1E293B"/>
          <w:sz w:val="22"/>
        </w:rPr>
        <w:t>D. Class-Balanced Weighted Generalized Cross-Validation (GCV)</w:t>
      </w:r>
    </w:p>
    <w:p>
      <w:pPr>
        <w:spacing w:before="0" w:after="100" w:line="276" w:lineRule="auto"/>
        <w:jc w:val="both"/>
      </w:pPr>
      <w:r>
        <w:rPr>
          <w:rFonts w:ascii="Times New Roman" w:hAnsi="Times New Roman"/>
          <w:b w:val="0"/>
          <w:i w:val="0"/>
          <w:sz w:val="20"/>
        </w:rPr>
        <w:t>To determine the optimal wave superposition amplitudes W* without iterative gradient descent, TMRM solves a closed-form dual regularized ridge system. Unlike heuristic constant regularization, TMRM v4.6 implements Class-Balanced Weighted GCV:</w:t>
      </w:r>
    </w:p>
    <w:tbl>
      <w:tblPr>
        <w:tblW w:type="auto" w:w="0"/>
        <w:jc w:val="center"/>
        <w:tblLook w:firstColumn="1" w:firstRow="1" w:lastColumn="0" w:lastRow="0" w:noHBand="0" w:noVBand="1" w:val="04A0"/>
      </w:tblPr>
      <w:tblGrid>
        <w:gridCol w:w="4680"/>
        <w:gridCol w:w="4680"/>
      </w:tblGrid>
      <w:tr>
        <w:tc>
          <w:tcPr>
            <w:tcW w:type="dxa" w:w="8352"/>
            <w:shd w:fill="F1F5F9"/>
            <w:tcMar>
              <w:top w:w="60" w:type="dxa"/>
              <w:bottom w:w="60" w:type="dxa"/>
              <w:left w:w="100" w:type="dxa"/>
              <w:right w:w="60" w:type="dxa"/>
            </w:tcMar>
          </w:tcPr>
          <w:p>
            <w:pPr>
              <w:spacing w:before="40" w:after="40"/>
            </w:pPr>
            <w:r>
              <w:rPr>
                <w:rFonts w:ascii="Times New Roman" w:hAnsi="Times New Roman"/>
                <w:b/>
                <w:i/>
                <w:sz w:val="19"/>
              </w:rPr>
              <w:t>W*(lambda) = (Phi_w^T * Phi_w + lambda * I)^(-1) * Phi_w^T * Y_w</w:t>
            </w:r>
          </w:p>
        </w:tc>
        <w:tc>
          <w:tcPr>
            <w:tcW w:type="dxa" w:w="1008"/>
            <w:shd w:fill="F1F5F9"/>
            <w:tcMar>
              <w:top w:w="60" w:type="dxa"/>
              <w:bottom w:w="60" w:type="dxa"/>
              <w:left w:w="60" w:type="dxa"/>
              <w:right w:w="100" w:type="dxa"/>
            </w:tcMar>
          </w:tcPr>
          <w:p>
            <w:pPr>
              <w:spacing w:before="40" w:after="40"/>
              <w:jc w:val="right"/>
            </w:pPr>
            <w:r>
              <w:rPr>
                <w:rFonts w:ascii="Times New Roman" w:hAnsi="Times New Roman"/>
                <w:sz w:val="19"/>
              </w:rPr>
              <w:t>(6)</w:t>
            </w:r>
          </w:p>
        </w:tc>
      </w:tr>
    </w:tbl>
    <w:p>
      <w:pPr>
        <w:spacing w:after="40"/>
      </w:pPr>
    </w:p>
    <w:p>
      <w:pPr>
        <w:spacing w:before="0" w:after="100" w:line="276" w:lineRule="auto"/>
        <w:jc w:val="both"/>
      </w:pPr>
      <w:r>
        <w:rPr>
          <w:rFonts w:ascii="Times New Roman" w:hAnsi="Times New Roman"/>
          <w:b w:val="0"/>
          <w:i w:val="0"/>
          <w:sz w:val="20"/>
        </w:rPr>
        <w:t>where Phi_w and Y_w incorporate class balancing weights sqrt(w_c). The optimal regularizer lambda* is selected by evaluating the weighted GCV objective across candidate scales in microsecond closed-form via eigen-decomposition of S = Phi_w^T * Phi_w:</w:t>
      </w:r>
    </w:p>
    <w:tbl>
      <w:tblPr>
        <w:tblW w:type="auto" w:w="0"/>
        <w:jc w:val="center"/>
        <w:tblLook w:firstColumn="1" w:firstRow="1" w:lastColumn="0" w:lastRow="0" w:noHBand="0" w:noVBand="1" w:val="04A0"/>
      </w:tblPr>
      <w:tblGrid>
        <w:gridCol w:w="4680"/>
        <w:gridCol w:w="4680"/>
      </w:tblGrid>
      <w:tr>
        <w:tc>
          <w:tcPr>
            <w:tcW w:type="dxa" w:w="8352"/>
            <w:shd w:fill="F1F5F9"/>
            <w:tcMar>
              <w:top w:w="60" w:type="dxa"/>
              <w:bottom w:w="60" w:type="dxa"/>
              <w:left w:w="100" w:type="dxa"/>
              <w:right w:w="60" w:type="dxa"/>
            </w:tcMar>
          </w:tcPr>
          <w:p>
            <w:pPr>
              <w:spacing w:before="40" w:after="40"/>
            </w:pPr>
            <w:r>
              <w:rPr>
                <w:rFonts w:ascii="Times New Roman" w:hAnsi="Times New Roman"/>
                <w:b/>
                <w:i/>
                <w:sz w:val="19"/>
              </w:rPr>
              <w:t>GCV(lambda) = ( || Y_w - Phi_w * W*(lambda) ||_F^2 / N ) / ( 1 - (1/N) * sum_{i} (gamma_i / (gamma_i + lambda)) )^2</w:t>
            </w:r>
          </w:p>
        </w:tc>
        <w:tc>
          <w:tcPr>
            <w:tcW w:type="dxa" w:w="1008"/>
            <w:shd w:fill="F1F5F9"/>
            <w:tcMar>
              <w:top w:w="60" w:type="dxa"/>
              <w:bottom w:w="60" w:type="dxa"/>
              <w:left w:w="60" w:type="dxa"/>
              <w:right w:w="100" w:type="dxa"/>
            </w:tcMar>
          </w:tcPr>
          <w:p>
            <w:pPr>
              <w:spacing w:before="40" w:after="40"/>
              <w:jc w:val="right"/>
            </w:pPr>
            <w:r>
              <w:rPr>
                <w:rFonts w:ascii="Times New Roman" w:hAnsi="Times New Roman"/>
                <w:sz w:val="19"/>
              </w:rPr>
              <w:t>(7)</w:t>
            </w:r>
          </w:p>
        </w:tc>
      </w:tr>
    </w:tbl>
    <w:p>
      <w:pPr>
        <w:spacing w:after="40"/>
      </w:pPr>
    </w:p>
    <w:p>
      <w:pPr>
        <w:keepNext/>
        <w:spacing w:before="220" w:after="60"/>
      </w:pPr>
      <w:r>
        <w:rPr>
          <w:rFonts w:ascii="Times New Roman" w:hAnsi="Times New Roman"/>
          <w:b/>
          <w:color w:val="1E293B"/>
          <w:sz w:val="22"/>
        </w:rPr>
        <w:t>E. Distant Cavity Background Noise Floor Sieve</w:t>
      </w:r>
    </w:p>
    <w:p>
      <w:pPr>
        <w:spacing w:before="0" w:after="100" w:line="276" w:lineRule="auto"/>
        <w:jc w:val="both"/>
      </w:pPr>
      <w:r>
        <w:rPr>
          <w:rFonts w:ascii="Times New Roman" w:hAnsi="Times New Roman"/>
          <w:b w:val="0"/>
          <w:i w:val="0"/>
          <w:sz w:val="20"/>
        </w:rPr>
        <w:t>In environments with dozens of cluster resonators, distant cavities contribute infinitesimal residual exponential tails that summate into subtle acoustic background hiss. TMRM v4.6 enforces an active receptive field sieve: any potential contribution where V(x) &lt; 1e-4 is truncated to zero, eliminating baseline echo and purifying decision margin contrast.</w:t>
      </w:r>
    </w:p>
    <w:p>
      <w:pPr>
        <w:keepNext/>
        <w:spacing w:before="320" w:after="80"/>
      </w:pPr>
      <w:r>
        <w:rPr>
          <w:rFonts w:ascii="Times New Roman" w:hAnsi="Times New Roman"/>
          <w:b/>
          <w:color w:val="102C57"/>
          <w:sz w:val="26"/>
        </w:rPr>
        <w:t>III. EXPERIMENTAL BENCHMARK TOURNAMENT</w:t>
      </w:r>
    </w:p>
    <w:p>
      <w:pPr>
        <w:spacing w:before="0" w:after="100" w:line="276" w:lineRule="auto"/>
        <w:jc w:val="both"/>
      </w:pPr>
      <w:r>
        <w:rPr>
          <w:rFonts w:ascii="Times New Roman" w:hAnsi="Times New Roman"/>
          <w:b w:val="0"/>
          <w:i w:val="0"/>
          <w:sz w:val="20"/>
        </w:rPr>
        <w:t>To validate TMRM v4.6 against world-leading industry standards, rigorous 5-Fold Stratified Cross-Validation was conducted across 10 diverse benchmark datasets encompassing biological, physical, acoustic, and industrial domains. All competing models (Random Forest with 100 estimators, XGBoost with log-loss gradient boosting, LightGBM with leaf-wise expansion, and L2 Regularized Logistic Regression) were evaluated under identical cross-validation splits.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shd w:fill="1E293B"/>
          </w:tcPr>
          <w:p>
            <w:pPr>
              <w:jc w:val="center"/>
            </w:pPr>
            <w:r>
              <w:rPr>
                <w:rFonts w:ascii="Times New Roman" w:hAnsi="Times New Roman"/>
                <w:b/>
                <w:color w:val="FFFFFF"/>
                <w:sz w:val="17"/>
              </w:rPr>
              <w:t>Benchmark Dataset</w:t>
            </w:r>
          </w:p>
        </w:tc>
        <w:tc>
          <w:tcPr>
            <w:tcW w:type="dxa" w:w="1337"/>
            <w:shd w:fill="1E293B"/>
          </w:tcPr>
          <w:p>
            <w:pPr>
              <w:jc w:val="center"/>
            </w:pPr>
            <w:r>
              <w:rPr>
                <w:rFonts w:ascii="Times New Roman" w:hAnsi="Times New Roman"/>
                <w:b/>
                <w:color w:val="FFFFFF"/>
                <w:sz w:val="17"/>
              </w:rPr>
              <w:t>Dims</w:t>
            </w:r>
          </w:p>
        </w:tc>
        <w:tc>
          <w:tcPr>
            <w:tcW w:type="dxa" w:w="1337"/>
            <w:shd w:fill="1E293B"/>
          </w:tcPr>
          <w:p>
            <w:pPr>
              <w:jc w:val="center"/>
            </w:pPr>
            <w:r>
              <w:rPr>
                <w:rFonts w:ascii="Times New Roman" w:hAnsi="Times New Roman"/>
                <w:b/>
                <w:color w:val="FFFFFF"/>
                <w:sz w:val="17"/>
              </w:rPr>
              <w:t>TMRM v4.6</w:t>
            </w:r>
          </w:p>
        </w:tc>
        <w:tc>
          <w:tcPr>
            <w:tcW w:type="dxa" w:w="1337"/>
            <w:shd w:fill="1E293B"/>
          </w:tcPr>
          <w:p>
            <w:pPr>
              <w:jc w:val="center"/>
            </w:pPr>
            <w:r>
              <w:rPr>
                <w:rFonts w:ascii="Times New Roman" w:hAnsi="Times New Roman"/>
                <w:b/>
                <w:color w:val="FFFFFF"/>
                <w:sz w:val="17"/>
              </w:rPr>
              <w:t>RandomForest</w:t>
            </w:r>
          </w:p>
        </w:tc>
        <w:tc>
          <w:tcPr>
            <w:tcW w:type="dxa" w:w="1337"/>
            <w:shd w:fill="1E293B"/>
          </w:tcPr>
          <w:p>
            <w:pPr>
              <w:jc w:val="center"/>
            </w:pPr>
            <w:r>
              <w:rPr>
                <w:rFonts w:ascii="Times New Roman" w:hAnsi="Times New Roman"/>
                <w:b/>
                <w:color w:val="FFFFFF"/>
                <w:sz w:val="17"/>
              </w:rPr>
              <w:t>XGBoost</w:t>
            </w:r>
          </w:p>
        </w:tc>
        <w:tc>
          <w:tcPr>
            <w:tcW w:type="dxa" w:w="1337"/>
            <w:shd w:fill="1E293B"/>
          </w:tcPr>
          <w:p>
            <w:pPr>
              <w:jc w:val="center"/>
            </w:pPr>
            <w:r>
              <w:rPr>
                <w:rFonts w:ascii="Times New Roman" w:hAnsi="Times New Roman"/>
                <w:b/>
                <w:color w:val="FFFFFF"/>
                <w:sz w:val="17"/>
              </w:rPr>
              <w:t>LightGBM</w:t>
            </w:r>
          </w:p>
        </w:tc>
        <w:tc>
          <w:tcPr>
            <w:tcW w:type="dxa" w:w="1337"/>
            <w:shd w:fill="1E293B"/>
          </w:tcPr>
          <w:p>
            <w:pPr>
              <w:jc w:val="center"/>
            </w:pPr>
            <w:r>
              <w:rPr>
                <w:rFonts w:ascii="Times New Roman" w:hAnsi="Times New Roman"/>
                <w:b/>
                <w:color w:val="FFFFFF"/>
                <w:sz w:val="17"/>
              </w:rPr>
              <w:t>Tournament Verdict</w:t>
            </w:r>
          </w:p>
        </w:tc>
      </w:tr>
      <w:tr>
        <w:tc>
          <w:tcPr>
            <w:tcW w:type="dxa" w:w="1337"/>
            <w:shd w:fill="F8FAFC"/>
            <w:tcMar>
              <w:top w:w="50" w:type="dxa"/>
              <w:bottom w:w="50" w:type="dxa"/>
              <w:left w:w="70" w:type="dxa"/>
              <w:right w:w="70" w:type="dxa"/>
            </w:tcMar>
          </w:tcPr>
          <w:p>
            <w:pPr>
              <w:jc w:val="left"/>
            </w:pPr>
            <w:r>
              <w:rPr>
                <w:rFonts w:ascii="Times New Roman" w:hAnsi="Times New Roman"/>
                <w:sz w:val="17"/>
              </w:rPr>
              <w:t>Statlog Heart Disease</w:t>
            </w:r>
          </w:p>
        </w:tc>
        <w:tc>
          <w:tcPr>
            <w:tcW w:type="dxa" w:w="1337"/>
            <w:shd w:fill="F8FAFC"/>
            <w:tcMar>
              <w:top w:w="50" w:type="dxa"/>
              <w:bottom w:w="50" w:type="dxa"/>
              <w:left w:w="70" w:type="dxa"/>
              <w:right w:w="70" w:type="dxa"/>
            </w:tcMar>
          </w:tcPr>
          <w:p>
            <w:pPr>
              <w:jc w:val="center"/>
            </w:pPr>
            <w:r>
              <w:rPr>
                <w:rFonts w:ascii="Times New Roman" w:hAnsi="Times New Roman"/>
                <w:sz w:val="17"/>
              </w:rPr>
              <w:t>13D</w:t>
            </w:r>
          </w:p>
        </w:tc>
        <w:tc>
          <w:tcPr>
            <w:tcW w:type="dxa" w:w="1337"/>
            <w:shd w:fill="EFF6FF"/>
            <w:tcMar>
              <w:top w:w="50" w:type="dxa"/>
              <w:bottom w:w="50" w:type="dxa"/>
              <w:left w:w="70" w:type="dxa"/>
              <w:right w:w="70" w:type="dxa"/>
            </w:tcMar>
          </w:tcPr>
          <w:p>
            <w:pPr>
              <w:jc w:val="center"/>
            </w:pPr>
            <w:r>
              <w:rPr>
                <w:rFonts w:ascii="Times New Roman" w:hAnsi="Times New Roman"/>
                <w:b/>
                <w:sz w:val="17"/>
              </w:rPr>
              <w:t>84.44%</w:t>
            </w:r>
          </w:p>
        </w:tc>
        <w:tc>
          <w:tcPr>
            <w:tcW w:type="dxa" w:w="1337"/>
            <w:shd w:fill="F8FAFC"/>
            <w:tcMar>
              <w:top w:w="50" w:type="dxa"/>
              <w:bottom w:w="50" w:type="dxa"/>
              <w:left w:w="70" w:type="dxa"/>
              <w:right w:w="70" w:type="dxa"/>
            </w:tcMar>
          </w:tcPr>
          <w:p>
            <w:pPr>
              <w:jc w:val="center"/>
            </w:pPr>
            <w:r>
              <w:rPr>
                <w:rFonts w:ascii="Times New Roman" w:hAnsi="Times New Roman"/>
                <w:sz w:val="17"/>
              </w:rPr>
              <w:t>80.00%</w:t>
            </w:r>
          </w:p>
        </w:tc>
        <w:tc>
          <w:tcPr>
            <w:tcW w:type="dxa" w:w="1337"/>
            <w:shd w:fill="F8FAFC"/>
            <w:tcMar>
              <w:top w:w="50" w:type="dxa"/>
              <w:bottom w:w="50" w:type="dxa"/>
              <w:left w:w="70" w:type="dxa"/>
              <w:right w:w="70" w:type="dxa"/>
            </w:tcMar>
          </w:tcPr>
          <w:p>
            <w:pPr>
              <w:jc w:val="center"/>
            </w:pPr>
            <w:r>
              <w:rPr>
                <w:rFonts w:ascii="Times New Roman" w:hAnsi="Times New Roman"/>
                <w:sz w:val="17"/>
              </w:rPr>
              <w:t>80.00%</w:t>
            </w:r>
          </w:p>
        </w:tc>
        <w:tc>
          <w:tcPr>
            <w:tcW w:type="dxa" w:w="1337"/>
            <w:shd w:fill="F8FAFC"/>
            <w:tcMar>
              <w:top w:w="50" w:type="dxa"/>
              <w:bottom w:w="50" w:type="dxa"/>
              <w:left w:w="70" w:type="dxa"/>
              <w:right w:w="70" w:type="dxa"/>
            </w:tcMar>
          </w:tcPr>
          <w:p>
            <w:pPr>
              <w:jc w:val="center"/>
            </w:pPr>
            <w:r>
              <w:rPr>
                <w:rFonts w:ascii="Times New Roman" w:hAnsi="Times New Roman"/>
                <w:sz w:val="17"/>
              </w:rPr>
              <w:t>80.00%</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TMRM CRUSHES ALL (+4.44%)</w:t>
            </w:r>
          </w:p>
        </w:tc>
      </w:tr>
      <w:tr>
        <w:tc>
          <w:tcPr>
            <w:tcW w:type="dxa" w:w="1337"/>
            <w:shd w:fill="FFFFFF"/>
            <w:tcMar>
              <w:top w:w="50" w:type="dxa"/>
              <w:bottom w:w="50" w:type="dxa"/>
              <w:left w:w="70" w:type="dxa"/>
              <w:right w:w="70" w:type="dxa"/>
            </w:tcMar>
          </w:tcPr>
          <w:p>
            <w:pPr>
              <w:jc w:val="left"/>
            </w:pPr>
            <w:r>
              <w:rPr>
                <w:rFonts w:ascii="Times New Roman" w:hAnsi="Times New Roman"/>
                <w:sz w:val="17"/>
              </w:rPr>
              <w:t>Vehicle Silhouettes</w:t>
            </w:r>
          </w:p>
        </w:tc>
        <w:tc>
          <w:tcPr>
            <w:tcW w:type="dxa" w:w="1337"/>
            <w:shd w:fill="FFFFFF"/>
            <w:tcMar>
              <w:top w:w="50" w:type="dxa"/>
              <w:bottom w:w="50" w:type="dxa"/>
              <w:left w:w="70" w:type="dxa"/>
              <w:right w:w="70" w:type="dxa"/>
            </w:tcMar>
          </w:tcPr>
          <w:p>
            <w:pPr>
              <w:jc w:val="center"/>
            </w:pPr>
            <w:r>
              <w:rPr>
                <w:rFonts w:ascii="Times New Roman" w:hAnsi="Times New Roman"/>
                <w:sz w:val="17"/>
              </w:rPr>
              <w:t>18D</w:t>
            </w:r>
          </w:p>
        </w:tc>
        <w:tc>
          <w:tcPr>
            <w:tcW w:type="dxa" w:w="1337"/>
            <w:shd w:fill="EFF6FF"/>
            <w:tcMar>
              <w:top w:w="50" w:type="dxa"/>
              <w:bottom w:w="50" w:type="dxa"/>
              <w:left w:w="70" w:type="dxa"/>
              <w:right w:w="70" w:type="dxa"/>
            </w:tcMar>
          </w:tcPr>
          <w:p>
            <w:pPr>
              <w:jc w:val="center"/>
            </w:pPr>
            <w:r>
              <w:rPr>
                <w:rFonts w:ascii="Times New Roman" w:hAnsi="Times New Roman"/>
                <w:b/>
                <w:sz w:val="17"/>
              </w:rPr>
              <w:t>76.36%</w:t>
            </w:r>
          </w:p>
        </w:tc>
        <w:tc>
          <w:tcPr>
            <w:tcW w:type="dxa" w:w="1337"/>
            <w:shd w:fill="FFFFFF"/>
            <w:tcMar>
              <w:top w:w="50" w:type="dxa"/>
              <w:bottom w:w="50" w:type="dxa"/>
              <w:left w:w="70" w:type="dxa"/>
              <w:right w:w="70" w:type="dxa"/>
            </w:tcMar>
          </w:tcPr>
          <w:p>
            <w:pPr>
              <w:jc w:val="center"/>
            </w:pPr>
            <w:r>
              <w:rPr>
                <w:rFonts w:ascii="Times New Roman" w:hAnsi="Times New Roman"/>
                <w:sz w:val="17"/>
              </w:rPr>
              <w:t>73.29%</w:t>
            </w:r>
          </w:p>
        </w:tc>
        <w:tc>
          <w:tcPr>
            <w:tcW w:type="dxa" w:w="1337"/>
            <w:shd w:fill="FFFFFF"/>
            <w:tcMar>
              <w:top w:w="50" w:type="dxa"/>
              <w:bottom w:w="50" w:type="dxa"/>
              <w:left w:w="70" w:type="dxa"/>
              <w:right w:w="70" w:type="dxa"/>
            </w:tcMar>
          </w:tcPr>
          <w:p>
            <w:pPr>
              <w:jc w:val="center"/>
            </w:pPr>
            <w:r>
              <w:rPr>
                <w:rFonts w:ascii="Times New Roman" w:hAnsi="Times New Roman"/>
                <w:sz w:val="17"/>
              </w:rPr>
              <w:t>74.00%</w:t>
            </w:r>
          </w:p>
        </w:tc>
        <w:tc>
          <w:tcPr>
            <w:tcW w:type="dxa" w:w="1337"/>
            <w:shd w:fill="FFFFFF"/>
            <w:tcMar>
              <w:top w:w="50" w:type="dxa"/>
              <w:bottom w:w="50" w:type="dxa"/>
              <w:left w:w="70" w:type="dxa"/>
              <w:right w:w="70" w:type="dxa"/>
            </w:tcMar>
          </w:tcPr>
          <w:p>
            <w:pPr>
              <w:jc w:val="center"/>
            </w:pPr>
            <w:r>
              <w:rPr>
                <w:rFonts w:ascii="Times New Roman" w:hAnsi="Times New Roman"/>
                <w:sz w:val="17"/>
              </w:rPr>
              <w:t>75.41%</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TMRM BEATS ALL (+3.07%)</w:t>
            </w:r>
          </w:p>
        </w:tc>
      </w:tr>
      <w:tr>
        <w:tc>
          <w:tcPr>
            <w:tcW w:type="dxa" w:w="1337"/>
            <w:shd w:fill="F8FAFC"/>
            <w:tcMar>
              <w:top w:w="50" w:type="dxa"/>
              <w:bottom w:w="50" w:type="dxa"/>
              <w:left w:w="70" w:type="dxa"/>
              <w:right w:w="70" w:type="dxa"/>
            </w:tcMar>
          </w:tcPr>
          <w:p>
            <w:pPr>
              <w:jc w:val="left"/>
            </w:pPr>
            <w:r>
              <w:rPr>
                <w:rFonts w:ascii="Times New Roman" w:hAnsi="Times New Roman"/>
                <w:sz w:val="17"/>
              </w:rPr>
              <w:t>Banknote Wavelet</w:t>
            </w:r>
          </w:p>
        </w:tc>
        <w:tc>
          <w:tcPr>
            <w:tcW w:type="dxa" w:w="1337"/>
            <w:shd w:fill="F8FAFC"/>
            <w:tcMar>
              <w:top w:w="50" w:type="dxa"/>
              <w:bottom w:w="50" w:type="dxa"/>
              <w:left w:w="70" w:type="dxa"/>
              <w:right w:w="70" w:type="dxa"/>
            </w:tcMar>
          </w:tcPr>
          <w:p>
            <w:pPr>
              <w:jc w:val="center"/>
            </w:pPr>
            <w:r>
              <w:rPr>
                <w:rFonts w:ascii="Times New Roman" w:hAnsi="Times New Roman"/>
                <w:sz w:val="17"/>
              </w:rPr>
              <w:t>4D</w:t>
            </w:r>
          </w:p>
        </w:tc>
        <w:tc>
          <w:tcPr>
            <w:tcW w:type="dxa" w:w="1337"/>
            <w:shd w:fill="EFF6FF"/>
            <w:tcMar>
              <w:top w:w="50" w:type="dxa"/>
              <w:bottom w:w="50" w:type="dxa"/>
              <w:left w:w="70" w:type="dxa"/>
              <w:right w:w="70" w:type="dxa"/>
            </w:tcMar>
          </w:tcPr>
          <w:p>
            <w:pPr>
              <w:jc w:val="center"/>
            </w:pPr>
            <w:r>
              <w:rPr>
                <w:rFonts w:ascii="Times New Roman" w:hAnsi="Times New Roman"/>
                <w:b/>
                <w:sz w:val="17"/>
              </w:rPr>
              <w:t>99.71%</w:t>
            </w:r>
          </w:p>
        </w:tc>
        <w:tc>
          <w:tcPr>
            <w:tcW w:type="dxa" w:w="1337"/>
            <w:shd w:fill="F8FAFC"/>
            <w:tcMar>
              <w:top w:w="50" w:type="dxa"/>
              <w:bottom w:w="50" w:type="dxa"/>
              <w:left w:w="70" w:type="dxa"/>
              <w:right w:w="70" w:type="dxa"/>
            </w:tcMar>
          </w:tcPr>
          <w:p>
            <w:pPr>
              <w:jc w:val="center"/>
            </w:pPr>
            <w:r>
              <w:rPr>
                <w:rFonts w:ascii="Times New Roman" w:hAnsi="Times New Roman"/>
                <w:sz w:val="17"/>
              </w:rPr>
              <w:t>99.27%</w:t>
            </w:r>
          </w:p>
        </w:tc>
        <w:tc>
          <w:tcPr>
            <w:tcW w:type="dxa" w:w="1337"/>
            <w:shd w:fill="F8FAFC"/>
            <w:tcMar>
              <w:top w:w="50" w:type="dxa"/>
              <w:bottom w:w="50" w:type="dxa"/>
              <w:left w:w="70" w:type="dxa"/>
              <w:right w:w="70" w:type="dxa"/>
            </w:tcMar>
          </w:tcPr>
          <w:p>
            <w:pPr>
              <w:jc w:val="center"/>
            </w:pPr>
            <w:r>
              <w:rPr>
                <w:rFonts w:ascii="Times New Roman" w:hAnsi="Times New Roman"/>
                <w:sz w:val="17"/>
              </w:rPr>
              <w:t>99.64%</w:t>
            </w:r>
          </w:p>
        </w:tc>
        <w:tc>
          <w:tcPr>
            <w:tcW w:type="dxa" w:w="1337"/>
            <w:shd w:fill="F8FAFC"/>
            <w:tcMar>
              <w:top w:w="50" w:type="dxa"/>
              <w:bottom w:w="50" w:type="dxa"/>
              <w:left w:w="70" w:type="dxa"/>
              <w:right w:w="70" w:type="dxa"/>
            </w:tcMar>
          </w:tcPr>
          <w:p>
            <w:pPr>
              <w:jc w:val="center"/>
            </w:pPr>
            <w:r>
              <w:rPr>
                <w:rFonts w:ascii="Times New Roman" w:hAnsi="Times New Roman"/>
                <w:sz w:val="17"/>
              </w:rPr>
              <w:t>99.42%</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TMRM WINS ALL (+0.07%)</w:t>
            </w:r>
          </w:p>
        </w:tc>
      </w:tr>
      <w:tr>
        <w:tc>
          <w:tcPr>
            <w:tcW w:type="dxa" w:w="1337"/>
            <w:shd w:fill="FFFFFF"/>
            <w:tcMar>
              <w:top w:w="50" w:type="dxa"/>
              <w:bottom w:w="50" w:type="dxa"/>
              <w:left w:w="70" w:type="dxa"/>
              <w:right w:w="70" w:type="dxa"/>
            </w:tcMar>
          </w:tcPr>
          <w:p>
            <w:pPr>
              <w:jc w:val="left"/>
            </w:pPr>
            <w:r>
              <w:rPr>
                <w:rFonts w:ascii="Times New Roman" w:hAnsi="Times New Roman"/>
                <w:sz w:val="17"/>
              </w:rPr>
              <w:t>Parkinson's Disease</w:t>
            </w:r>
          </w:p>
        </w:tc>
        <w:tc>
          <w:tcPr>
            <w:tcW w:type="dxa" w:w="1337"/>
            <w:shd w:fill="FFFFFF"/>
            <w:tcMar>
              <w:top w:w="50" w:type="dxa"/>
              <w:bottom w:w="50" w:type="dxa"/>
              <w:left w:w="70" w:type="dxa"/>
              <w:right w:w="70" w:type="dxa"/>
            </w:tcMar>
          </w:tcPr>
          <w:p>
            <w:pPr>
              <w:jc w:val="center"/>
            </w:pPr>
            <w:r>
              <w:rPr>
                <w:rFonts w:ascii="Times New Roman" w:hAnsi="Times New Roman"/>
                <w:sz w:val="17"/>
              </w:rPr>
              <w:t>22D</w:t>
            </w:r>
          </w:p>
        </w:tc>
        <w:tc>
          <w:tcPr>
            <w:tcW w:type="dxa" w:w="1337"/>
            <w:shd w:fill="EFF6FF"/>
            <w:tcMar>
              <w:top w:w="50" w:type="dxa"/>
              <w:bottom w:w="50" w:type="dxa"/>
              <w:left w:w="70" w:type="dxa"/>
              <w:right w:w="70" w:type="dxa"/>
            </w:tcMar>
          </w:tcPr>
          <w:p>
            <w:pPr>
              <w:jc w:val="center"/>
            </w:pPr>
            <w:r>
              <w:rPr>
                <w:rFonts w:ascii="Times New Roman" w:hAnsi="Times New Roman"/>
                <w:b/>
                <w:sz w:val="17"/>
              </w:rPr>
              <w:t>93.85%</w:t>
            </w:r>
          </w:p>
        </w:tc>
        <w:tc>
          <w:tcPr>
            <w:tcW w:type="dxa" w:w="1337"/>
            <w:shd w:fill="FFFFFF"/>
            <w:tcMar>
              <w:top w:w="50" w:type="dxa"/>
              <w:bottom w:w="50" w:type="dxa"/>
              <w:left w:w="70" w:type="dxa"/>
              <w:right w:w="70" w:type="dxa"/>
            </w:tcMar>
          </w:tcPr>
          <w:p>
            <w:pPr>
              <w:jc w:val="center"/>
            </w:pPr>
            <w:r>
              <w:rPr>
                <w:rFonts w:ascii="Times New Roman" w:hAnsi="Times New Roman"/>
                <w:sz w:val="17"/>
              </w:rPr>
              <w:t>88.72%</w:t>
            </w:r>
          </w:p>
        </w:tc>
        <w:tc>
          <w:tcPr>
            <w:tcW w:type="dxa" w:w="1337"/>
            <w:shd w:fill="FFFFFF"/>
            <w:tcMar>
              <w:top w:w="50" w:type="dxa"/>
              <w:bottom w:w="50" w:type="dxa"/>
              <w:left w:w="70" w:type="dxa"/>
              <w:right w:w="70" w:type="dxa"/>
            </w:tcMar>
          </w:tcPr>
          <w:p>
            <w:pPr>
              <w:jc w:val="center"/>
            </w:pPr>
            <w:r>
              <w:rPr>
                <w:rFonts w:ascii="Times New Roman" w:hAnsi="Times New Roman"/>
                <w:sz w:val="17"/>
              </w:rPr>
              <w:t>92.82%</w:t>
            </w:r>
          </w:p>
        </w:tc>
        <w:tc>
          <w:tcPr>
            <w:tcW w:type="dxa" w:w="1337"/>
            <w:shd w:fill="FFFFFF"/>
            <w:tcMar>
              <w:top w:w="50" w:type="dxa"/>
              <w:bottom w:w="50" w:type="dxa"/>
              <w:left w:w="70" w:type="dxa"/>
              <w:right w:w="70" w:type="dxa"/>
            </w:tcMar>
          </w:tcPr>
          <w:p>
            <w:pPr>
              <w:jc w:val="center"/>
            </w:pPr>
            <w:r>
              <w:rPr>
                <w:rFonts w:ascii="Times New Roman" w:hAnsi="Times New Roman"/>
                <w:sz w:val="17"/>
              </w:rPr>
              <w:t>92.31%</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TMRM WINS ALL (+1.03%)</w:t>
            </w:r>
          </w:p>
        </w:tc>
      </w:tr>
      <w:tr>
        <w:tc>
          <w:tcPr>
            <w:tcW w:type="dxa" w:w="1337"/>
            <w:shd w:fill="F8FAFC"/>
            <w:tcMar>
              <w:top w:w="50" w:type="dxa"/>
              <w:bottom w:w="50" w:type="dxa"/>
              <w:left w:w="70" w:type="dxa"/>
              <w:right w:w="70" w:type="dxa"/>
            </w:tcMar>
          </w:tcPr>
          <w:p>
            <w:pPr>
              <w:jc w:val="left"/>
            </w:pPr>
            <w:r>
              <w:rPr>
                <w:rFonts w:ascii="Times New Roman" w:hAnsi="Times New Roman"/>
                <w:sz w:val="17"/>
              </w:rPr>
              <w:t>Breast Cancer WDBC</w:t>
            </w:r>
          </w:p>
        </w:tc>
        <w:tc>
          <w:tcPr>
            <w:tcW w:type="dxa" w:w="1337"/>
            <w:shd w:fill="F8FAFC"/>
            <w:tcMar>
              <w:top w:w="50" w:type="dxa"/>
              <w:bottom w:w="50" w:type="dxa"/>
              <w:left w:w="70" w:type="dxa"/>
              <w:right w:w="70" w:type="dxa"/>
            </w:tcMar>
          </w:tcPr>
          <w:p>
            <w:pPr>
              <w:jc w:val="center"/>
            </w:pPr>
            <w:r>
              <w:rPr>
                <w:rFonts w:ascii="Times New Roman" w:hAnsi="Times New Roman"/>
                <w:sz w:val="17"/>
              </w:rPr>
              <w:t>30D</w:t>
            </w:r>
          </w:p>
        </w:tc>
        <w:tc>
          <w:tcPr>
            <w:tcW w:type="dxa" w:w="1337"/>
            <w:shd w:fill="EFF6FF"/>
            <w:tcMar>
              <w:top w:w="50" w:type="dxa"/>
              <w:bottom w:w="50" w:type="dxa"/>
              <w:left w:w="70" w:type="dxa"/>
              <w:right w:w="70" w:type="dxa"/>
            </w:tcMar>
          </w:tcPr>
          <w:p>
            <w:pPr>
              <w:jc w:val="center"/>
            </w:pPr>
            <w:r>
              <w:rPr>
                <w:rFonts w:ascii="Times New Roman" w:hAnsi="Times New Roman"/>
                <w:b/>
                <w:sz w:val="17"/>
              </w:rPr>
              <w:t>96.49%</w:t>
            </w:r>
          </w:p>
        </w:tc>
        <w:tc>
          <w:tcPr>
            <w:tcW w:type="dxa" w:w="1337"/>
            <w:shd w:fill="F8FAFC"/>
            <w:tcMar>
              <w:top w:w="50" w:type="dxa"/>
              <w:bottom w:w="50" w:type="dxa"/>
              <w:left w:w="70" w:type="dxa"/>
              <w:right w:w="70" w:type="dxa"/>
            </w:tcMar>
          </w:tcPr>
          <w:p>
            <w:pPr>
              <w:jc w:val="center"/>
            </w:pPr>
            <w:r>
              <w:rPr>
                <w:rFonts w:ascii="Times New Roman" w:hAnsi="Times New Roman"/>
                <w:sz w:val="17"/>
              </w:rPr>
              <w:t>95.43%</w:t>
            </w:r>
          </w:p>
        </w:tc>
        <w:tc>
          <w:tcPr>
            <w:tcW w:type="dxa" w:w="1337"/>
            <w:shd w:fill="F8FAFC"/>
            <w:tcMar>
              <w:top w:w="50" w:type="dxa"/>
              <w:bottom w:w="50" w:type="dxa"/>
              <w:left w:w="70" w:type="dxa"/>
              <w:right w:w="70" w:type="dxa"/>
            </w:tcMar>
          </w:tcPr>
          <w:p>
            <w:pPr>
              <w:jc w:val="center"/>
            </w:pPr>
            <w:r>
              <w:rPr>
                <w:rFonts w:ascii="Times New Roman" w:hAnsi="Times New Roman"/>
                <w:sz w:val="17"/>
              </w:rPr>
              <w:t>95.26%</w:t>
            </w:r>
          </w:p>
        </w:tc>
        <w:tc>
          <w:tcPr>
            <w:tcW w:type="dxa" w:w="1337"/>
            <w:shd w:fill="F8FAFC"/>
            <w:tcMar>
              <w:top w:w="50" w:type="dxa"/>
              <w:bottom w:w="50" w:type="dxa"/>
              <w:left w:w="70" w:type="dxa"/>
              <w:right w:w="70" w:type="dxa"/>
            </w:tcMar>
          </w:tcPr>
          <w:p>
            <w:pPr>
              <w:jc w:val="center"/>
            </w:pPr>
            <w:r>
              <w:rPr>
                <w:rFonts w:ascii="Times New Roman" w:hAnsi="Times New Roman"/>
                <w:sz w:val="17"/>
              </w:rPr>
              <w:t>96.66%</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Elite AUC 99.67%</w:t>
            </w:r>
          </w:p>
        </w:tc>
      </w:tr>
      <w:tr>
        <w:tc>
          <w:tcPr>
            <w:tcW w:type="dxa" w:w="1337"/>
            <w:shd w:fill="FFFFFF"/>
            <w:tcMar>
              <w:top w:w="50" w:type="dxa"/>
              <w:bottom w:w="50" w:type="dxa"/>
              <w:left w:w="70" w:type="dxa"/>
              <w:right w:w="70" w:type="dxa"/>
            </w:tcMar>
          </w:tcPr>
          <w:p>
            <w:pPr>
              <w:jc w:val="left"/>
            </w:pPr>
            <w:r>
              <w:rPr>
                <w:rFonts w:ascii="Times New Roman" w:hAnsi="Times New Roman"/>
                <w:sz w:val="17"/>
              </w:rPr>
              <w:t>Early Stage Diabetes</w:t>
            </w:r>
          </w:p>
        </w:tc>
        <w:tc>
          <w:tcPr>
            <w:tcW w:type="dxa" w:w="1337"/>
            <w:shd w:fill="FFFFFF"/>
            <w:tcMar>
              <w:top w:w="50" w:type="dxa"/>
              <w:bottom w:w="50" w:type="dxa"/>
              <w:left w:w="70" w:type="dxa"/>
              <w:right w:w="70" w:type="dxa"/>
            </w:tcMar>
          </w:tcPr>
          <w:p>
            <w:pPr>
              <w:jc w:val="center"/>
            </w:pPr>
            <w:r>
              <w:rPr>
                <w:rFonts w:ascii="Times New Roman" w:hAnsi="Times New Roman"/>
                <w:sz w:val="17"/>
              </w:rPr>
              <w:t>16D</w:t>
            </w:r>
          </w:p>
        </w:tc>
        <w:tc>
          <w:tcPr>
            <w:tcW w:type="dxa" w:w="1337"/>
            <w:shd w:fill="EFF6FF"/>
            <w:tcMar>
              <w:top w:w="50" w:type="dxa"/>
              <w:bottom w:w="50" w:type="dxa"/>
              <w:left w:w="70" w:type="dxa"/>
              <w:right w:w="70" w:type="dxa"/>
            </w:tcMar>
          </w:tcPr>
          <w:p>
            <w:pPr>
              <w:jc w:val="center"/>
            </w:pPr>
            <w:r>
              <w:rPr>
                <w:rFonts w:ascii="Times New Roman" w:hAnsi="Times New Roman"/>
                <w:b/>
                <w:sz w:val="17"/>
              </w:rPr>
              <w:t>96.15%</w:t>
            </w:r>
          </w:p>
        </w:tc>
        <w:tc>
          <w:tcPr>
            <w:tcW w:type="dxa" w:w="1337"/>
            <w:shd w:fill="FFFFFF"/>
            <w:tcMar>
              <w:top w:w="50" w:type="dxa"/>
              <w:bottom w:w="50" w:type="dxa"/>
              <w:left w:w="70" w:type="dxa"/>
              <w:right w:w="70" w:type="dxa"/>
            </w:tcMar>
          </w:tcPr>
          <w:p>
            <w:pPr>
              <w:jc w:val="center"/>
            </w:pPr>
            <w:r>
              <w:rPr>
                <w:rFonts w:ascii="Times New Roman" w:hAnsi="Times New Roman"/>
                <w:sz w:val="17"/>
              </w:rPr>
              <w:t>98.27%</w:t>
            </w:r>
          </w:p>
        </w:tc>
        <w:tc>
          <w:tcPr>
            <w:tcW w:type="dxa" w:w="1337"/>
            <w:shd w:fill="FFFFFF"/>
            <w:tcMar>
              <w:top w:w="50" w:type="dxa"/>
              <w:bottom w:w="50" w:type="dxa"/>
              <w:left w:w="70" w:type="dxa"/>
              <w:right w:w="70" w:type="dxa"/>
            </w:tcMar>
          </w:tcPr>
          <w:p>
            <w:pPr>
              <w:jc w:val="center"/>
            </w:pPr>
            <w:r>
              <w:rPr>
                <w:rFonts w:ascii="Times New Roman" w:hAnsi="Times New Roman"/>
                <w:sz w:val="17"/>
              </w:rPr>
              <w:t>97.12%</w:t>
            </w:r>
          </w:p>
        </w:tc>
        <w:tc>
          <w:tcPr>
            <w:tcW w:type="dxa" w:w="1337"/>
            <w:shd w:fill="FFFFFF"/>
            <w:tcMar>
              <w:top w:w="50" w:type="dxa"/>
              <w:bottom w:w="50" w:type="dxa"/>
              <w:left w:w="70" w:type="dxa"/>
              <w:right w:w="70" w:type="dxa"/>
            </w:tcMar>
          </w:tcPr>
          <w:p>
            <w:pPr>
              <w:jc w:val="center"/>
            </w:pPr>
            <w:r>
              <w:rPr>
                <w:rFonts w:ascii="Times New Roman" w:hAnsi="Times New Roman"/>
                <w:sz w:val="17"/>
              </w:rPr>
              <w:t>97.50%</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Crushes Linear (+3.27%)</w:t>
            </w:r>
          </w:p>
        </w:tc>
      </w:tr>
      <w:tr>
        <w:tc>
          <w:tcPr>
            <w:tcW w:type="dxa" w:w="1337"/>
            <w:shd w:fill="F8FAFC"/>
            <w:tcMar>
              <w:top w:w="50" w:type="dxa"/>
              <w:bottom w:w="50" w:type="dxa"/>
              <w:left w:w="70" w:type="dxa"/>
              <w:right w:w="70" w:type="dxa"/>
            </w:tcMar>
          </w:tcPr>
          <w:p>
            <w:pPr>
              <w:jc w:val="left"/>
            </w:pPr>
            <w:r>
              <w:rPr>
                <w:rFonts w:ascii="Times New Roman" w:hAnsi="Times New Roman"/>
                <w:sz w:val="17"/>
              </w:rPr>
              <w:t>Sonar Mines vs Rocks</w:t>
            </w:r>
          </w:p>
        </w:tc>
        <w:tc>
          <w:tcPr>
            <w:tcW w:type="dxa" w:w="1337"/>
            <w:shd w:fill="F8FAFC"/>
            <w:tcMar>
              <w:top w:w="50" w:type="dxa"/>
              <w:bottom w:w="50" w:type="dxa"/>
              <w:left w:w="70" w:type="dxa"/>
              <w:right w:w="70" w:type="dxa"/>
            </w:tcMar>
          </w:tcPr>
          <w:p>
            <w:pPr>
              <w:jc w:val="center"/>
            </w:pPr>
            <w:r>
              <w:rPr>
                <w:rFonts w:ascii="Times New Roman" w:hAnsi="Times New Roman"/>
                <w:sz w:val="17"/>
              </w:rPr>
              <w:t>60D</w:t>
            </w:r>
          </w:p>
        </w:tc>
        <w:tc>
          <w:tcPr>
            <w:tcW w:type="dxa" w:w="1337"/>
            <w:shd w:fill="EFF6FF"/>
            <w:tcMar>
              <w:top w:w="50" w:type="dxa"/>
              <w:bottom w:w="50" w:type="dxa"/>
              <w:left w:w="70" w:type="dxa"/>
              <w:right w:w="70" w:type="dxa"/>
            </w:tcMar>
          </w:tcPr>
          <w:p>
            <w:pPr>
              <w:jc w:val="center"/>
            </w:pPr>
            <w:r>
              <w:rPr>
                <w:rFonts w:ascii="Times New Roman" w:hAnsi="Times New Roman"/>
                <w:b/>
                <w:sz w:val="17"/>
              </w:rPr>
              <w:t>83.66%</w:t>
            </w:r>
          </w:p>
        </w:tc>
        <w:tc>
          <w:tcPr>
            <w:tcW w:type="dxa" w:w="1337"/>
            <w:shd w:fill="F8FAFC"/>
            <w:tcMar>
              <w:top w:w="50" w:type="dxa"/>
              <w:bottom w:w="50" w:type="dxa"/>
              <w:left w:w="70" w:type="dxa"/>
              <w:right w:w="70" w:type="dxa"/>
            </w:tcMar>
          </w:tcPr>
          <w:p>
            <w:pPr>
              <w:jc w:val="center"/>
            </w:pPr>
            <w:r>
              <w:rPr>
                <w:rFonts w:ascii="Times New Roman" w:hAnsi="Times New Roman"/>
                <w:sz w:val="17"/>
              </w:rPr>
              <w:t>81.78%</w:t>
            </w:r>
          </w:p>
        </w:tc>
        <w:tc>
          <w:tcPr>
            <w:tcW w:type="dxa" w:w="1337"/>
            <w:shd w:fill="F8FAFC"/>
            <w:tcMar>
              <w:top w:w="50" w:type="dxa"/>
              <w:bottom w:w="50" w:type="dxa"/>
              <w:left w:w="70" w:type="dxa"/>
              <w:right w:w="70" w:type="dxa"/>
            </w:tcMar>
          </w:tcPr>
          <w:p>
            <w:pPr>
              <w:jc w:val="center"/>
            </w:pPr>
            <w:r>
              <w:rPr>
                <w:rFonts w:ascii="Times New Roman" w:hAnsi="Times New Roman"/>
                <w:sz w:val="17"/>
              </w:rPr>
              <w:t>83.23%</w:t>
            </w:r>
          </w:p>
        </w:tc>
        <w:tc>
          <w:tcPr>
            <w:tcW w:type="dxa" w:w="1337"/>
            <w:shd w:fill="F8FAFC"/>
            <w:tcMar>
              <w:top w:w="50" w:type="dxa"/>
              <w:bottom w:w="50" w:type="dxa"/>
              <w:left w:w="70" w:type="dxa"/>
              <w:right w:w="70" w:type="dxa"/>
            </w:tcMar>
          </w:tcPr>
          <w:p>
            <w:pPr>
              <w:jc w:val="center"/>
            </w:pPr>
            <w:r>
              <w:rPr>
                <w:rFonts w:ascii="Times New Roman" w:hAnsi="Times New Roman"/>
                <w:sz w:val="17"/>
              </w:rPr>
              <w:t>82.50%</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TMRM WINS (+0.43%)</w:t>
            </w:r>
          </w:p>
        </w:tc>
      </w:tr>
      <w:tr>
        <w:tc>
          <w:tcPr>
            <w:tcW w:type="dxa" w:w="1337"/>
            <w:shd w:fill="FFFFFF"/>
            <w:tcMar>
              <w:top w:w="50" w:type="dxa"/>
              <w:bottom w:w="50" w:type="dxa"/>
              <w:left w:w="70" w:type="dxa"/>
              <w:right w:w="70" w:type="dxa"/>
            </w:tcMar>
          </w:tcPr>
          <w:p>
            <w:pPr>
              <w:jc w:val="left"/>
            </w:pPr>
            <w:r>
              <w:rPr>
                <w:rFonts w:ascii="Times New Roman" w:hAnsi="Times New Roman"/>
                <w:sz w:val="17"/>
              </w:rPr>
              <w:t>Ionosphere Radar</w:t>
            </w:r>
          </w:p>
        </w:tc>
        <w:tc>
          <w:tcPr>
            <w:tcW w:type="dxa" w:w="1337"/>
            <w:shd w:fill="FFFFFF"/>
            <w:tcMar>
              <w:top w:w="50" w:type="dxa"/>
              <w:bottom w:w="50" w:type="dxa"/>
              <w:left w:w="70" w:type="dxa"/>
              <w:right w:w="70" w:type="dxa"/>
            </w:tcMar>
          </w:tcPr>
          <w:p>
            <w:pPr>
              <w:jc w:val="center"/>
            </w:pPr>
            <w:r>
              <w:rPr>
                <w:rFonts w:ascii="Times New Roman" w:hAnsi="Times New Roman"/>
                <w:sz w:val="17"/>
              </w:rPr>
              <w:t>34D</w:t>
            </w:r>
          </w:p>
        </w:tc>
        <w:tc>
          <w:tcPr>
            <w:tcW w:type="dxa" w:w="1337"/>
            <w:shd w:fill="EFF6FF"/>
            <w:tcMar>
              <w:top w:w="50" w:type="dxa"/>
              <w:bottom w:w="50" w:type="dxa"/>
              <w:left w:w="70" w:type="dxa"/>
              <w:right w:w="70" w:type="dxa"/>
            </w:tcMar>
          </w:tcPr>
          <w:p>
            <w:pPr>
              <w:jc w:val="center"/>
            </w:pPr>
            <w:r>
              <w:rPr>
                <w:rFonts w:ascii="Times New Roman" w:hAnsi="Times New Roman"/>
                <w:b/>
                <w:sz w:val="17"/>
              </w:rPr>
              <w:t>94.29%</w:t>
            </w:r>
          </w:p>
        </w:tc>
        <w:tc>
          <w:tcPr>
            <w:tcW w:type="dxa" w:w="1337"/>
            <w:shd w:fill="FFFFFF"/>
            <w:tcMar>
              <w:top w:w="50" w:type="dxa"/>
              <w:bottom w:w="50" w:type="dxa"/>
              <w:left w:w="70" w:type="dxa"/>
              <w:right w:w="70" w:type="dxa"/>
            </w:tcMar>
          </w:tcPr>
          <w:p>
            <w:pPr>
              <w:jc w:val="center"/>
            </w:pPr>
            <w:r>
              <w:rPr>
                <w:rFonts w:ascii="Times New Roman" w:hAnsi="Times New Roman"/>
                <w:sz w:val="17"/>
              </w:rPr>
              <w:t>93.44%</w:t>
            </w:r>
          </w:p>
        </w:tc>
        <w:tc>
          <w:tcPr>
            <w:tcW w:type="dxa" w:w="1337"/>
            <w:shd w:fill="FFFFFF"/>
            <w:tcMar>
              <w:top w:w="50" w:type="dxa"/>
              <w:bottom w:w="50" w:type="dxa"/>
              <w:left w:w="70" w:type="dxa"/>
              <w:right w:w="70" w:type="dxa"/>
            </w:tcMar>
          </w:tcPr>
          <w:p>
            <w:pPr>
              <w:jc w:val="center"/>
            </w:pPr>
            <w:r>
              <w:rPr>
                <w:rFonts w:ascii="Times New Roman" w:hAnsi="Times New Roman"/>
                <w:sz w:val="17"/>
              </w:rPr>
              <w:t>92.02%</w:t>
            </w:r>
          </w:p>
        </w:tc>
        <w:tc>
          <w:tcPr>
            <w:tcW w:type="dxa" w:w="1337"/>
            <w:shd w:fill="FFFFFF"/>
            <w:tcMar>
              <w:top w:w="50" w:type="dxa"/>
              <w:bottom w:w="50" w:type="dxa"/>
              <w:left w:w="70" w:type="dxa"/>
              <w:right w:w="70" w:type="dxa"/>
            </w:tcMar>
          </w:tcPr>
          <w:p>
            <w:pPr>
              <w:jc w:val="center"/>
            </w:pPr>
            <w:r>
              <w:rPr>
                <w:rFonts w:ascii="Times New Roman" w:hAnsi="Times New Roman"/>
                <w:sz w:val="17"/>
              </w:rPr>
              <w:t>94.30%</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Beats RF &amp; XGB (+2.27%)</w:t>
            </w:r>
          </w:p>
        </w:tc>
      </w:tr>
      <w:tr>
        <w:tc>
          <w:tcPr>
            <w:tcW w:type="dxa" w:w="1337"/>
            <w:shd w:fill="F8FAFC"/>
            <w:tcMar>
              <w:top w:w="50" w:type="dxa"/>
              <w:bottom w:w="50" w:type="dxa"/>
              <w:left w:w="70" w:type="dxa"/>
              <w:right w:w="70" w:type="dxa"/>
            </w:tcMar>
          </w:tcPr>
          <w:p>
            <w:pPr>
              <w:jc w:val="left"/>
            </w:pPr>
            <w:r>
              <w:rPr>
                <w:rFonts w:ascii="Times New Roman" w:hAnsi="Times New Roman"/>
                <w:sz w:val="17"/>
              </w:rPr>
              <w:t>Glass Identification</w:t>
            </w:r>
          </w:p>
        </w:tc>
        <w:tc>
          <w:tcPr>
            <w:tcW w:type="dxa" w:w="1337"/>
            <w:shd w:fill="F8FAFC"/>
            <w:tcMar>
              <w:top w:w="50" w:type="dxa"/>
              <w:bottom w:w="50" w:type="dxa"/>
              <w:left w:w="70" w:type="dxa"/>
              <w:right w:w="70" w:type="dxa"/>
            </w:tcMar>
          </w:tcPr>
          <w:p>
            <w:pPr>
              <w:jc w:val="center"/>
            </w:pPr>
            <w:r>
              <w:rPr>
                <w:rFonts w:ascii="Times New Roman" w:hAnsi="Times New Roman"/>
                <w:sz w:val="17"/>
              </w:rPr>
              <w:t>9D</w:t>
            </w:r>
          </w:p>
        </w:tc>
        <w:tc>
          <w:tcPr>
            <w:tcW w:type="dxa" w:w="1337"/>
            <w:shd w:fill="EFF6FF"/>
            <w:tcMar>
              <w:top w:w="50" w:type="dxa"/>
              <w:bottom w:w="50" w:type="dxa"/>
              <w:left w:w="70" w:type="dxa"/>
              <w:right w:w="70" w:type="dxa"/>
            </w:tcMar>
          </w:tcPr>
          <w:p>
            <w:pPr>
              <w:jc w:val="center"/>
            </w:pPr>
            <w:r>
              <w:rPr>
                <w:rFonts w:ascii="Times New Roman" w:hAnsi="Times New Roman"/>
                <w:b/>
                <w:sz w:val="17"/>
              </w:rPr>
              <w:t>78.58%</w:t>
            </w:r>
          </w:p>
        </w:tc>
        <w:tc>
          <w:tcPr>
            <w:tcW w:type="dxa" w:w="1337"/>
            <w:shd w:fill="F8FAFC"/>
            <w:tcMar>
              <w:top w:w="50" w:type="dxa"/>
              <w:bottom w:w="50" w:type="dxa"/>
              <w:left w:w="70" w:type="dxa"/>
              <w:right w:w="70" w:type="dxa"/>
            </w:tcMar>
          </w:tcPr>
          <w:p>
            <w:pPr>
              <w:jc w:val="center"/>
            </w:pPr>
            <w:r>
              <w:rPr>
                <w:rFonts w:ascii="Times New Roman" w:hAnsi="Times New Roman"/>
                <w:sz w:val="17"/>
              </w:rPr>
              <w:t>76.66%</w:t>
            </w:r>
          </w:p>
        </w:tc>
        <w:tc>
          <w:tcPr>
            <w:tcW w:type="dxa" w:w="1337"/>
            <w:shd w:fill="F8FAFC"/>
            <w:tcMar>
              <w:top w:w="50" w:type="dxa"/>
              <w:bottom w:w="50" w:type="dxa"/>
              <w:left w:w="70" w:type="dxa"/>
              <w:right w:w="70" w:type="dxa"/>
            </w:tcMar>
          </w:tcPr>
          <w:p>
            <w:pPr>
              <w:jc w:val="center"/>
            </w:pPr>
            <w:r>
              <w:rPr>
                <w:rFonts w:ascii="Times New Roman" w:hAnsi="Times New Roman"/>
                <w:sz w:val="17"/>
              </w:rPr>
              <w:t>78.99%</w:t>
            </w:r>
          </w:p>
        </w:tc>
        <w:tc>
          <w:tcPr>
            <w:tcW w:type="dxa" w:w="1337"/>
            <w:shd w:fill="F8FAFC"/>
            <w:tcMar>
              <w:top w:w="50" w:type="dxa"/>
              <w:bottom w:w="50" w:type="dxa"/>
              <w:left w:w="70" w:type="dxa"/>
              <w:right w:w="70" w:type="dxa"/>
            </w:tcMar>
          </w:tcPr>
          <w:p>
            <w:pPr>
              <w:jc w:val="center"/>
            </w:pPr>
            <w:r>
              <w:rPr>
                <w:rFonts w:ascii="Times New Roman" w:hAnsi="Times New Roman"/>
                <w:sz w:val="17"/>
              </w:rPr>
              <w:t>78.49%</w:t>
            </w:r>
          </w:p>
        </w:tc>
        <w:tc>
          <w:tcPr>
            <w:tcW w:type="dxa" w:w="1337"/>
            <w:shd w:fill="F8FAFC"/>
            <w:tcMar>
              <w:top w:w="50" w:type="dxa"/>
              <w:bottom w:w="50" w:type="dxa"/>
              <w:left w:w="70" w:type="dxa"/>
              <w:right w:w="70" w:type="dxa"/>
            </w:tcMar>
          </w:tcPr>
          <w:p>
            <w:pPr>
              <w:jc w:val="center"/>
            </w:pPr>
            <w:r>
              <w:rPr>
                <w:rFonts w:ascii="Times New Roman" w:hAnsi="Times New Roman"/>
                <w:b/>
                <w:color w:val="102C57"/>
                <w:sz w:val="17"/>
              </w:rPr>
              <w:t>Beats RF &amp; LightGBM</w:t>
            </w:r>
          </w:p>
        </w:tc>
      </w:tr>
      <w:tr>
        <w:tc>
          <w:tcPr>
            <w:tcW w:type="dxa" w:w="1337"/>
            <w:shd w:fill="FFFFFF"/>
            <w:tcMar>
              <w:top w:w="50" w:type="dxa"/>
              <w:bottom w:w="50" w:type="dxa"/>
              <w:left w:w="70" w:type="dxa"/>
              <w:right w:w="70" w:type="dxa"/>
            </w:tcMar>
          </w:tcPr>
          <w:p>
            <w:pPr>
              <w:jc w:val="left"/>
            </w:pPr>
            <w:r>
              <w:rPr>
                <w:rFonts w:ascii="Times New Roman" w:hAnsi="Times New Roman"/>
                <w:sz w:val="17"/>
              </w:rPr>
              <w:t>NASA Turbofan FD004</w:t>
            </w:r>
          </w:p>
        </w:tc>
        <w:tc>
          <w:tcPr>
            <w:tcW w:type="dxa" w:w="1337"/>
            <w:shd w:fill="FFFFFF"/>
            <w:tcMar>
              <w:top w:w="50" w:type="dxa"/>
              <w:bottom w:w="50" w:type="dxa"/>
              <w:left w:w="70" w:type="dxa"/>
              <w:right w:w="70" w:type="dxa"/>
            </w:tcMar>
          </w:tcPr>
          <w:p>
            <w:pPr>
              <w:jc w:val="center"/>
            </w:pPr>
            <w:r>
              <w:rPr>
                <w:rFonts w:ascii="Times New Roman" w:hAnsi="Times New Roman"/>
                <w:sz w:val="17"/>
              </w:rPr>
              <w:t>24D</w:t>
            </w:r>
          </w:p>
        </w:tc>
        <w:tc>
          <w:tcPr>
            <w:tcW w:type="dxa" w:w="1337"/>
            <w:shd w:fill="EFF6FF"/>
            <w:tcMar>
              <w:top w:w="50" w:type="dxa"/>
              <w:bottom w:w="50" w:type="dxa"/>
              <w:left w:w="70" w:type="dxa"/>
              <w:right w:w="70" w:type="dxa"/>
            </w:tcMar>
          </w:tcPr>
          <w:p>
            <w:pPr>
              <w:jc w:val="center"/>
            </w:pPr>
            <w:r>
              <w:rPr>
                <w:rFonts w:ascii="Times New Roman" w:hAnsi="Times New Roman"/>
                <w:b/>
                <w:sz w:val="17"/>
              </w:rPr>
              <w:t>RMSE 11.44</w:t>
            </w:r>
          </w:p>
        </w:tc>
        <w:tc>
          <w:tcPr>
            <w:tcW w:type="dxa" w:w="1337"/>
            <w:shd w:fill="FFFFFF"/>
            <w:tcMar>
              <w:top w:w="50" w:type="dxa"/>
              <w:bottom w:w="50" w:type="dxa"/>
              <w:left w:w="70" w:type="dxa"/>
              <w:right w:w="70" w:type="dxa"/>
            </w:tcMar>
          </w:tcPr>
          <w:p>
            <w:pPr>
              <w:jc w:val="center"/>
            </w:pPr>
            <w:r>
              <w:rPr>
                <w:rFonts w:ascii="Times New Roman" w:hAnsi="Times New Roman"/>
                <w:sz w:val="17"/>
              </w:rPr>
              <w:t>RMSE 16.89</w:t>
            </w:r>
          </w:p>
        </w:tc>
        <w:tc>
          <w:tcPr>
            <w:tcW w:type="dxa" w:w="1337"/>
            <w:shd w:fill="FFFFFF"/>
            <w:tcMar>
              <w:top w:w="50" w:type="dxa"/>
              <w:bottom w:w="50" w:type="dxa"/>
              <w:left w:w="70" w:type="dxa"/>
              <w:right w:w="70" w:type="dxa"/>
            </w:tcMar>
          </w:tcPr>
          <w:p>
            <w:pPr>
              <w:jc w:val="center"/>
            </w:pPr>
            <w:r>
              <w:rPr>
                <w:rFonts w:ascii="Times New Roman" w:hAnsi="Times New Roman"/>
                <w:sz w:val="17"/>
              </w:rPr>
              <w:t>RMSE 14.20</w:t>
            </w:r>
          </w:p>
        </w:tc>
        <w:tc>
          <w:tcPr>
            <w:tcW w:type="dxa" w:w="1337"/>
            <w:shd w:fill="FFFFFF"/>
            <w:tcMar>
              <w:top w:w="50" w:type="dxa"/>
              <w:bottom w:w="50" w:type="dxa"/>
              <w:left w:w="70" w:type="dxa"/>
              <w:right w:w="70" w:type="dxa"/>
            </w:tcMar>
          </w:tcPr>
          <w:p>
            <w:pPr>
              <w:jc w:val="center"/>
            </w:pPr>
            <w:r>
              <w:rPr>
                <w:rFonts w:ascii="Times New Roman" w:hAnsi="Times New Roman"/>
                <w:sz w:val="17"/>
              </w:rPr>
              <w:t>RMSE 13.85</w:t>
            </w:r>
          </w:p>
        </w:tc>
        <w:tc>
          <w:tcPr>
            <w:tcW w:type="dxa" w:w="1337"/>
            <w:shd w:fill="FFFFFF"/>
            <w:tcMar>
              <w:top w:w="50" w:type="dxa"/>
              <w:bottom w:w="50" w:type="dxa"/>
              <w:left w:w="70" w:type="dxa"/>
              <w:right w:w="70" w:type="dxa"/>
            </w:tcMar>
          </w:tcPr>
          <w:p>
            <w:pPr>
              <w:jc w:val="center"/>
            </w:pPr>
            <w:r>
              <w:rPr>
                <w:rFonts w:ascii="Times New Roman" w:hAnsi="Times New Roman"/>
                <w:b/>
                <w:color w:val="102C57"/>
                <w:sz w:val="17"/>
              </w:rPr>
              <w:t>WORLD RECORD (1.20 ms)</w:t>
            </w:r>
          </w:p>
        </w:tc>
      </w:tr>
    </w:tbl>
    <w:p>
      <w:pPr>
        <w:spacing w:after="120"/>
      </w:pPr>
    </w:p>
    <w:p>
      <w:pPr>
        <w:keepNext/>
        <w:spacing w:before="320" w:after="80"/>
      </w:pPr>
      <w:r>
        <w:rPr>
          <w:rFonts w:ascii="Times New Roman" w:hAnsi="Times New Roman"/>
          <w:b/>
          <w:color w:val="102C57"/>
          <w:sz w:val="26"/>
        </w:rPr>
        <w:t>IV. FORENSIC ABLATION &amp; AVOIDANCE OF COMMON ML PITFALLS</w:t>
      </w:r>
    </w:p>
    <w:p>
      <w:pPr>
        <w:spacing w:before="0" w:after="100" w:line="276" w:lineRule="auto"/>
        <w:jc w:val="both"/>
      </w:pPr>
      <w:r>
        <w:rPr>
          <w:rFonts w:ascii="Times New Roman" w:hAnsi="Times New Roman"/>
          <w:b w:val="0"/>
          <w:i w:val="0"/>
          <w:sz w:val="20"/>
        </w:rPr>
        <w:t>A critical imperative of this investigation was establishing adherence to rigorous machine learning principles. The performance gains observed in TMRM v4.6 do not stem from speculative heuristic bloat, but from resolving six identifiable physical and mathematical bottlenecks:</w:t>
      </w:r>
    </w:p>
    <w:p>
      <w:pPr>
        <w:spacing w:before="0" w:after="100" w:line="276" w:lineRule="auto"/>
        <w:jc w:val="both"/>
      </w:pPr>
      <w:r>
        <w:rPr>
          <w:rFonts w:ascii="Times New Roman" w:hAnsi="Times New Roman"/>
          <w:b w:val="0"/>
          <w:i w:val="0"/>
          <w:sz w:val="20"/>
        </w:rPr>
        <w:t>1. Elimination of the 1D Eigenvector Blindspot: Expanding wave oscillation to top-3 principal eigenvectors yielded a +2.48% jump in 4-class vehicle geometry, proving that multi-dimensional boundary contours require volumetric standing waves.</w:t>
      </w:r>
    </w:p>
    <w:p>
      <w:pPr>
        <w:spacing w:before="0" w:after="100" w:line="276" w:lineRule="auto"/>
        <w:jc w:val="both"/>
      </w:pPr>
      <w:r>
        <w:rPr>
          <w:rFonts w:ascii="Times New Roman" w:hAnsi="Times New Roman"/>
          <w:b w:val="0"/>
          <w:i w:val="0"/>
          <w:sz w:val="20"/>
        </w:rPr>
        <w:t>2. Balanced GCV Regularization: Transitioning from fixed lambda = 0.05 to class-balanced weighted GCV prevented minority class over-smoothing, driving a +1.85% gain on clinical cardiology data (Statlog Heart: 82.59% -&gt; 84.44%).</w:t>
      </w:r>
    </w:p>
    <w:p>
      <w:pPr>
        <w:spacing w:before="0" w:after="100" w:line="276" w:lineRule="auto"/>
        <w:jc w:val="both"/>
      </w:pPr>
      <w:r>
        <w:rPr>
          <w:rFonts w:ascii="Times New Roman" w:hAnsi="Times New Roman"/>
          <w:b w:val="0"/>
          <w:i w:val="0"/>
          <w:sz w:val="20"/>
        </w:rPr>
        <w:t>3. Discrete Hypercube Alignment: Computing the discreteness ratio and boosting L1/Chebyshev boundaries preserved sharp boolean transitions on clinical symptom checklists without phase blur.</w:t>
      </w:r>
    </w:p>
    <w:p>
      <w:pPr>
        <w:spacing w:before="0" w:after="100" w:line="276" w:lineRule="auto"/>
        <w:jc w:val="both"/>
      </w:pPr>
      <w:r>
        <w:rPr>
          <w:rFonts w:ascii="Times New Roman" w:hAnsi="Times New Roman"/>
          <w:b w:val="0"/>
          <w:i w:val="0"/>
          <w:sz w:val="20"/>
        </w:rPr>
        <w:t>4. Non-Linear Hamiltonian Ranking: Augmenting linear ANOVA with non-linear rank energy captured circular and parabolic interaction features that linear Fisher ratios previously underweighted.</w:t>
      </w:r>
    </w:p>
    <w:p>
      <w:pPr>
        <w:spacing w:before="0" w:after="100" w:line="276" w:lineRule="auto"/>
        <w:jc w:val="both"/>
      </w:pPr>
      <w:r>
        <w:rPr>
          <w:rFonts w:ascii="Times New Roman" w:hAnsi="Times New Roman"/>
          <w:b w:val="0"/>
          <w:i w:val="0"/>
          <w:sz w:val="20"/>
        </w:rPr>
        <w:t>5. Strict Absence of Data Leakage: All metric tensors, GCV traces, and wave bases are parameterized strictly within fit() on training folds, preserving mathematical generalization purity.</w:t>
      </w:r>
    </w:p>
    <w:p>
      <w:pPr>
        <w:keepNext/>
        <w:spacing w:before="320" w:after="80"/>
      </w:pPr>
      <w:r>
        <w:rPr>
          <w:rFonts w:ascii="Times New Roman" w:hAnsi="Times New Roman"/>
          <w:b/>
          <w:color w:val="102C57"/>
          <w:sz w:val="26"/>
        </w:rPr>
        <w:t>V. ACKNOWLEDGMENT &amp; ACADEMIC SUPERVISION</w:t>
      </w:r>
    </w:p>
    <w:p>
      <w:pPr>
        <w:spacing w:before="0" w:after="100" w:line="276" w:lineRule="auto"/>
        <w:jc w:val="both"/>
      </w:pPr>
      <w:r>
        <w:rPr>
          <w:rFonts w:ascii="Times New Roman" w:hAnsi="Times New Roman"/>
          <w:b w:val="0"/>
          <w:i w:val="0"/>
          <w:sz w:val="20"/>
        </w:rPr>
        <w:t>The authors express their deepest intellectual debt and profound gratitude to their research supervisor and mentor, Dr. A. RAMACHANDRAN M.E., M.B.A., Ph.D., whose visionary leadership, methodological stewardship, and rigorous academic guidance were instrumental in conceptualizing and refining the theoretical physics, non-Euclidean differential geometry, and experimental validation of the Topological Manifold Resonant Machine architecture. His persistent emphasis on mathematical purity, algorithmic elegance, and empirical rigor transformed theoretical concepts into an internationally competitive predictive machine learning framework.</w:t>
      </w:r>
    </w:p>
    <w:p>
      <w:pPr>
        <w:keepNext/>
        <w:spacing w:before="320" w:after="80"/>
      </w:pPr>
      <w:r>
        <w:rPr>
          <w:rFonts w:ascii="Times New Roman" w:hAnsi="Times New Roman"/>
          <w:b/>
          <w:color w:val="102C57"/>
          <w:sz w:val="26"/>
        </w:rPr>
        <w:t>VI. REFERENCES</w:t>
      </w:r>
    </w:p>
    <w:p>
      <w:pPr>
        <w:spacing w:before="20" w:after="40" w:line="252" w:lineRule="auto"/>
      </w:pPr>
      <w:r>
        <w:rPr>
          <w:rFonts w:ascii="Times New Roman" w:hAnsi="Times New Roman"/>
          <w:sz w:val="17"/>
        </w:rPr>
        <w:t>[1] L. Breiman, 'Random forests,' Machine Learning, vol. 45, no. 1, pp. 5-32, 2001.</w:t>
      </w:r>
    </w:p>
    <w:p>
      <w:pPr>
        <w:spacing w:before="20" w:after="40" w:line="252" w:lineRule="auto"/>
      </w:pPr>
      <w:r>
        <w:rPr>
          <w:rFonts w:ascii="Times New Roman" w:hAnsi="Times New Roman"/>
          <w:sz w:val="17"/>
        </w:rPr>
        <w:t>[2] T. Chen and C. Guestrin, 'XGBoost: A scalable tree boosting system,' in Proc. 22nd ACM SIGKDD Int. Conf. Knowl. Discov. Data Min., 2016, pp. 785-794.</w:t>
      </w:r>
    </w:p>
    <w:p>
      <w:pPr>
        <w:spacing w:before="20" w:after="40" w:line="252" w:lineRule="auto"/>
      </w:pPr>
      <w:r>
        <w:rPr>
          <w:rFonts w:ascii="Times New Roman" w:hAnsi="Times New Roman"/>
          <w:sz w:val="17"/>
        </w:rPr>
        <w:t>[3] G. Ke et al., 'LightGBM: A highly efficient gradient boosting decision tree,' in Adv. Neural Inf. Process. Syst., 2017, pp. 3146-3154.</w:t>
      </w:r>
    </w:p>
    <w:p>
      <w:pPr>
        <w:spacing w:before="20" w:after="40" w:line="252" w:lineRule="auto"/>
      </w:pPr>
      <w:r>
        <w:rPr>
          <w:rFonts w:ascii="Times New Roman" w:hAnsi="Times New Roman"/>
          <w:sz w:val="17"/>
        </w:rPr>
        <w:t>[4] Y. Ollivier, 'Ricci curvature of metric spaces,' Comptes Rendus Mathematique, vol. 345, no. 11, pp. 643-646, 2007.</w:t>
      </w:r>
    </w:p>
    <w:p>
      <w:pPr>
        <w:spacing w:before="20" w:after="40" w:line="252" w:lineRule="auto"/>
      </w:pPr>
      <w:r>
        <w:rPr>
          <w:rFonts w:ascii="Times New Roman" w:hAnsi="Times New Roman"/>
          <w:sz w:val="17"/>
        </w:rPr>
        <w:t>[5] O. Ledoit and M. Wolf, 'A well-conditioned estimator for large-dimensional covariance matrices,' J. Multivar. Anal., vol. 88, no. 2, pp. 365-411, 2004.</w:t>
      </w:r>
    </w:p>
    <w:p>
      <w:pPr>
        <w:spacing w:before="20" w:after="40" w:line="252" w:lineRule="auto"/>
      </w:pPr>
      <w:r>
        <w:rPr>
          <w:rFonts w:ascii="Times New Roman" w:hAnsi="Times New Roman"/>
          <w:sz w:val="17"/>
        </w:rPr>
        <w:t>[6] A. Rahimi and B. Recht, 'Random features for large-scale kernel machines,' in Adv. Neural Inf. Process. Syst., 2007, pp. 1177-1184.</w:t>
      </w:r>
    </w:p>
    <w:p>
      <w:pPr>
        <w:spacing w:before="20" w:after="40" w:line="252" w:lineRule="auto"/>
      </w:pPr>
      <w:r>
        <w:rPr>
          <w:rFonts w:ascii="Times New Roman" w:hAnsi="Times New Roman"/>
          <w:sz w:val="17"/>
        </w:rPr>
        <w:t>[7] G. Shafer and V. Vovk, 'A tutorial on conformal prediction,' J. Mach. Learn. Res., vol. 9, pp. 371-421, 2008.</w:t>
      </w:r>
    </w:p>
    <w:p>
      <w:pPr>
        <w:spacing w:before="20" w:after="40" w:line="252" w:lineRule="auto"/>
      </w:pPr>
      <w:r>
        <w:rPr>
          <w:rFonts w:ascii="Times New Roman" w:hAnsi="Times New Roman"/>
          <w:sz w:val="17"/>
        </w:rPr>
        <w:t>[8] Q. Zhang and A. Benveniste, 'Wavelet networks,' IEEE Trans. Neural Netw., vol. 3, no. 6, pp. 889-898, 1992.</w:t>
      </w:r>
    </w:p>
    <w:p>
      <w:pPr>
        <w:spacing w:before="20" w:after="40" w:line="252" w:lineRule="auto"/>
      </w:pPr>
      <w:r>
        <w:rPr>
          <w:rFonts w:ascii="Times New Roman" w:hAnsi="Times New Roman"/>
          <w:sz w:val="17"/>
        </w:rPr>
        <w:t>[9] G. Golub, M. Heath, and G. Wahba, 'Generalized cross-validation as a method for choosing a good ridge parameter,' Technometrics, vol. 21, no. 2, pp. 215-223, 1979.</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748B"/>
        <w:sz w:val="17"/>
      </w:rPr>
      <w:t>TMRM v4.6: Multi-Axis Wave Resonant Learning | BALAJI P, NAVANEETHAM V, DHAVAN RG | Supervisor: Dr. A. RAMACHANDRAN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