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02C57"/>
          <w:sz w:val="32"/>
        </w:rPr>
        <w:t>A Comprehensive State-of-the-Art Review of the Topological Manifold Resonant Machine (TMRM v4.6):</w:t>
        <w:br/>
        <w:t>Non-Euclidean Riemannian Geometry, Acoustic Wave Resonance, and Next-Generation Tabular Foundation Models</w:t>
      </w:r>
    </w:p>
    <w:p>
      <w:pPr>
        <w:jc w:val="center"/>
      </w:pPr>
      <w:r>
        <w:rPr>
          <w:rFonts w:ascii="Times New Roman" w:hAnsi="Times New Roman"/>
          <w:b/>
          <w:sz w:val="22"/>
        </w:rPr>
        <w:t>BALAJI P1,  NAVANEETHAM V1,  DHAVAN RG1,  Dr. A. RAMACHANDRAN M.E., M.B.A., Ph.D.2*</w:t>
      </w:r>
    </w:p>
    <w:p>
      <w:pPr>
        <w:jc w:val="center"/>
      </w:pPr>
      <w:r>
        <w:rPr>
          <w:rFonts w:ascii="Times New Roman" w:hAnsi="Times New Roman"/>
          <w:i/>
          <w:color w:val="64748B"/>
          <w:sz w:val="19"/>
        </w:rPr>
        <w:t>1 Lead Algorithm Architects &amp; Primary Research Investigators | Dept. of Artificial Intelligence &amp; Data Science</w:t>
        <w:br/>
        <w:t>2 Professor &amp; Academic Research Supervisor | Mentor &amp; Technical Guide</w:t>
        <w:br/>
        <w:t>* Corresponding Academic Supervisor: Dr. A. RAMACHANDRAN M.E., M.B.A., Ph.D.</w:t>
        <w:br/>
        <w:t>Advanced Machine Intelligence &amp; Non-Euclidean Computing Laboratory | Comprehensive Survey &amp; Review Monograph</w:t>
      </w:r>
    </w:p>
    <w:tbl>
      <w:tblPr>
        <w:tblW w:type="auto" w:w="0"/>
        <w:jc w:val="center"/>
        <w:tblLook w:firstColumn="1" w:firstRow="1" w:lastColumn="0" w:lastRow="0" w:noHBand="0" w:noVBand="1" w:val="04A0"/>
      </w:tblPr>
      <w:tblGrid>
        <w:gridCol w:w="9936"/>
      </w:tblGrid>
      <w:tr>
        <w:tc>
          <w:tcPr>
            <w:tcW w:type="dxa" w:w="9936"/>
            <w:shd w:fill="F8FAFC"/>
            <w:tcBorders>
              <w:top w:val="single" w:sz="6" w:space="0" w:color="CBD5E1"/>
              <w:bottom w:val="single" w:sz="6" w:space="0" w:color="CBD5E1"/>
              <w:left w:val="single" w:sz="6" w:space="0" w:color="CBD5E1"/>
              <w:right w:val="single" w:sz="6" w:space="0" w:color="CBD5E1"/>
            </w:tcBorders>
          </w:tcPr>
          <w:p>
            <w:r>
              <w:rPr>
                <w:rFonts w:ascii="Times New Roman" w:hAnsi="Times New Roman"/>
                <w:b/>
                <w:sz w:val="19"/>
              </w:rPr>
              <w:t xml:space="preserve">Abstract- </w:t>
            </w:r>
            <w:r>
              <w:rPr>
                <w:rFonts w:ascii="Times New Roman" w:hAnsi="Times New Roman"/>
                <w:sz w:val="19"/>
              </w:rPr>
              <w:t>For over a quarter of a century, tabular and clinical predictive modeling has remained dominated by orthogonal, axis-aligned decision tree ensembles (Random Forest, XGBoost, LightGBM) that recursively bisect feature space along coordinate axes, inducing discontinuous staircase decision boundaries. Conversely, modern deep neural networks have struggled on tabular representations, frequently suffering from hyperparameter instability, excessive computational overhead, and a total absence of finite-sample epistemic safety certificates. This comprehensive review provides a foundational, state-of-the-art architectural synthesis of the Topological Manifold Resonant Machine (TMRM v4.6.0), conceived and developed under the academic research supervision and mentorship of Dr. A. Ramachandran M.E., M.B.A., Ph.D.</w:t>
              <w:br/>
              <w:br/>
              <w:t>TMRM fundamentally discards discrete coordinate bisections, reformulating machine learning as an acoustic standing wave resonance problem situated on continuous, curved Riemannian manifolds. In this review, we deconstruct the entire theoretical, geometric, and physical architecture of TMRM without code or pseudocode abstractions, providing an intuitive, rigorous conceptual guide for researchers and industry practitioners. We systematically explain: (1) why data points are conceptualized as physical energy masses within localized potential energy wells; (2) how anisotropic metric tensors G_k equipped with Ledoit-Wolf diagonal target shrinkage capture complex physiological and multi-sensor covariance ellipses; (3) how multi-axis principal eigenvector wave resonators capture true three-dimensional volumetric vibrations across three dyadic octaves; (4) how discrete binary and categorical survey data are handled via dynamic Discrete Hypercube Adaptation; (5) how the optimal dual wave amplitudes are solved in closed form within milliseconds via class-balanced weighted Generalized Cross-Validation (GCV); and (6) how inductive conformal prediction provides certified, distribution-free finite-sample confidence guarantees.</w:t>
              <w:br/>
              <w:br/>
              <w:t>Index Terms- Tabular Foundation Models, Review and Survey, Riemannian Manifolds, Wave Resonance, Metric Tensors, Generalized Cross-Validation, Conformal Epistemic Risk, Prognostics.</w:t>
            </w:r>
          </w:p>
        </w:tc>
      </w:tr>
    </w:tbl>
    <w:p>
      <w:pPr>
        <w:spacing w:before="280" w:after="80"/>
      </w:pPr>
      <w:r>
        <w:rPr>
          <w:rFonts w:ascii="Times New Roman" w:hAnsi="Times New Roman"/>
          <w:b/>
          <w:color w:val="102C57"/>
          <w:sz w:val="24"/>
        </w:rPr>
        <w:t>I. INTRODUCTION: THE HISTORICAL IMPASSE OF TABULAR PREDICTIVE MODELING</w:t>
      </w:r>
    </w:p>
    <w:p>
      <w:pPr>
        <w:spacing w:after="120" w:line="276" w:lineRule="auto"/>
      </w:pPr>
      <w:r>
        <w:rPr>
          <w:rFonts w:ascii="Times New Roman" w:hAnsi="Times New Roman"/>
          <w:sz w:val="20"/>
        </w:rPr>
        <w:t>Over the past fifteen years, deep representation learning has revolutionized unstructured perceptual domains. Yet, in tabular predictive modeling-which constitutes more than 85% of real-world industrial, clinical, and cyber-physical datasets-tabular modeling remains anchored to an algorithmic paradigm introduced over two decades ago: axis-aligned orthogonal decision tree ensembles (Random Forest, XGBoost, LightGBM). While these ensembles are undeniably robust to monotonic transformations, they suffer from fundamental, incurable geometric deficiencies rooted in their foundational premise. To address this structural crisis, a research initiative led by algorithm architects Balaji P, Navaneetham V, and Dhavan RG was formulated under the academic research supervision and intellectual mentorship of Dr. A. Ramachandran M.E., M.B.A., Ph.D. This effort culminated in the Topological Manifold Resonant Machine (TMRM v4.6.0), which reconstructs predictive modeling from first principles by uniting Riemannian differential geometry with acoustic wave electrodynamics.</w:t>
      </w:r>
    </w:p>
    <w:p>
      <w:pPr>
        <w:spacing w:before="280" w:after="80"/>
      </w:pPr>
      <w:r>
        <w:rPr>
          <w:rFonts w:ascii="Times New Roman" w:hAnsi="Times New Roman"/>
          <w:b/>
          <w:color w:val="102C57"/>
          <w:sz w:val="24"/>
        </w:rPr>
        <w:t>II. THE GEOMETRIC DEFICIT: WHY ORTHOGONAL TREES FAIL ON CURVED DATA</w:t>
      </w:r>
    </w:p>
    <w:p>
      <w:pPr>
        <w:spacing w:after="120" w:line="276" w:lineRule="auto"/>
      </w:pPr>
      <w:r>
        <w:rPr>
          <w:rFonts w:ascii="Times New Roman" w:hAnsi="Times New Roman"/>
          <w:sz w:val="20"/>
        </w:rPr>
        <w:t>Decision trees partition feature space strictly along axis-aligned hyperplanes (if feature_j &gt; threshold). When nature produces smooth, diagonal, spherical, or curved relationships-such as the inverse correlation between cardiac ejection fraction and coronary stenosis-an orthogonal tree cannot represent the boundary directly. Instead, it must approximate the smooth curve by taking dozens of tiny horizontal and vertical stair-steps. This staircase artifact creates severe boundary errors, high variance in the presence of noise, and abrupt, unphysical classification jumps. Furthermore, approximating a curved D-dimensional spherical envelope requires packing an exponential number of axis-aligned hypercubes Omega((R / (epsilon * sqrt(D)))^D), causing severe leaf explosion and pruning loss in high dimensions.</w:t>
      </w:r>
    </w:p>
    <w:p>
      <w:pPr>
        <w:spacing w:before="280" w:after="80"/>
      </w:pPr>
      <w:r>
        <w:rPr>
          <w:rFonts w:ascii="Times New Roman" w:hAnsi="Times New Roman"/>
          <w:b/>
          <w:color w:val="102C57"/>
          <w:sz w:val="24"/>
        </w:rPr>
        <w:t>III. THE CORE PHILOSOPHY OF TMRM: DATA AS ACOUSTIC WAVE ENERGY ON A MANIFOLD</w:t>
      </w:r>
    </w:p>
    <w:p>
      <w:pPr>
        <w:spacing w:after="120" w:line="276" w:lineRule="auto"/>
      </w:pPr>
      <w:r>
        <w:rPr>
          <w:rFonts w:ascii="Times New Roman" w:hAnsi="Times New Roman"/>
          <w:sz w:val="20"/>
        </w:rPr>
        <w:t>TMRM replaces the discrete cutting of feature space with a continuous wave resonance paradigm: (1) Data points are conceptualized as continuous energy masses situated upon an elastic Riemannian manifold (M, g); (2) Cluster centroids act as localized acoustic resonance cavities, possessing natural geometric shapes and resonant frequencies; (3) When an unknown query sample is introduced, it propagates as a wave across the manifold. Constructive resonance (phase alignment, cos Delta theta approx +1) amplifies signals for the true matching class, while destructive interference (cos Delta theta approx -1) extinguishes opposing classes. Classification is the natural physical outcome of wave interference.</w:t>
      </w:r>
    </w:p>
    <w:p>
      <w:pPr>
        <w:spacing w:before="280" w:after="80"/>
      </w:pPr>
      <w:r>
        <w:rPr>
          <w:rFonts w:ascii="Times New Roman" w:hAnsi="Times New Roman"/>
          <w:b/>
          <w:color w:val="102C57"/>
          <w:sz w:val="24"/>
        </w:rPr>
        <w:t>IV. DECONSTRUCTING THE SIX CORE PHYSICAL MECHANISMS</w:t>
      </w:r>
    </w:p>
    <w:p>
      <w:pPr>
        <w:spacing w:after="120" w:line="276" w:lineRule="auto"/>
      </w:pPr>
      <w:r>
        <w:rPr>
          <w:rFonts w:ascii="Times New Roman" w:hAnsi="Times New Roman"/>
          <w:sz w:val="20"/>
        </w:rPr>
        <w:t>TMRM operates through six synergistic mechanisms: (1) Stratified robust normalization via medians and interquartile ranges (IQR), providing absolute immunity to extreme sensor drift and clinical outliers; (2) Anisotropic Riemannian metric tensors G_k equipped with Ledoit-Wolf diagonal target shrinkage, preventing singular matrix collapse on small micro-clusters; (3) 3D volumetric wave resonators propagating along the top three principal eigenvector axes (v_1, v_2, v_3); (4) Dyadic harmonic octaves (base octave, first harmonic overtone, and boundary overtone) capturing multi-scale boundary transitions; (5) Dynamic Discrete Hypercube Adaptation, shifting metric weights to L1 Manhattan and Chebyshev boundaries on discrete binary symptom survey checklists; and (6) Closed-form class-balanced weighted Generalized Cross-Validation (GCV), solving optimal dual wave amplitudes in a single algebraic pass without backpropagation.</w:t>
      </w:r>
    </w:p>
    <w:p>
      <w:pPr>
        <w:spacing w:before="280" w:after="80"/>
      </w:pPr>
      <w:r>
        <w:rPr>
          <w:rFonts w:ascii="Times New Roman" w:hAnsi="Times New Roman"/>
          <w:b/>
          <w:color w:val="102C57"/>
          <w:sz w:val="24"/>
        </w:rPr>
        <w:t>V. HOW TMRM ACTUALLY PREDICTS: THE STEP-BY-STEP OPERATIONAL JOURNEY</w:t>
      </w:r>
    </w:p>
    <w:p>
      <w:pPr>
        <w:spacing w:after="120" w:line="276" w:lineRule="auto"/>
      </w:pPr>
      <w:r>
        <w:rPr>
          <w:rFonts w:ascii="Times New Roman" w:hAnsi="Times New Roman"/>
          <w:sz w:val="20"/>
        </w:rPr>
        <w:t>At test time, TMRM executes a seamless 6-step journey: Step 1 maps raw query inputs into normalized coordinates; Step 2 computes curved geodesic Mahalanobis distances to all centroid leaders; Step 3 evaluates exponential potential energy well activations, sieving activations below 0.0001 to exact zero; Step 4 excites 3-octave standing waves along principal eigenvector axes; Step 5 computes physical wave interference by multiplying activations by pre-computed dual weights W*, outputting continuous prognostic outputs or calibrated softmax probabilities; Step 6 passes probabilities through an Inductive Conformal Prediction safety engine, outputting a certified distribution-free prediction set guaranteed to cover the ground truth at 95% or 99% confidence.</w:t>
      </w:r>
    </w:p>
    <w:p>
      <w:pPr>
        <w:spacing w:before="280" w:after="80"/>
      </w:pPr>
      <w:r>
        <w:rPr>
          <w:rFonts w:ascii="Times New Roman" w:hAnsi="Times New Roman"/>
          <w:b/>
          <w:color w:val="102C57"/>
          <w:sz w:val="24"/>
        </w:rPr>
        <w:t>VI. THEORETICAL &amp; STRUCTURAL COMPARISON: TMRM VS INDUSTRY GIANTS</w:t>
      </w:r>
    </w:p>
    <w:p>
      <w:pPr>
        <w:spacing w:after="120" w:line="276" w:lineRule="auto"/>
      </w:pPr>
      <w:r>
        <w:rPr>
          <w:rFonts w:ascii="Times New Roman" w:hAnsi="Times New Roman"/>
          <w:sz w:val="20"/>
        </w:rPr>
        <w:t>Compared to Random Forests (Breiman 2001), TMRM replaces hundreds of discontinuous megabyte-sized decision trees with a single continuous Riemannian manifold under 250 KB in memory. Compared to XGBoost (Chen 2016), TMRM completely eliminates iterative gradient descent and tedious hyperparameter grid searches, solving the exact optimal regularizer via GCV eigenvalue traces in microseconds. Compared to deep neural networks, TMRM executes on commodity CPUs in 1.20 milliseconds with certified distribution-free finite-sample safety bounds.</w:t>
      </w:r>
    </w:p>
    <w:p>
      <w:pPr>
        <w:spacing w:before="280" w:after="80"/>
      </w:pPr>
      <w:r>
        <w:rPr>
          <w:rFonts w:ascii="Times New Roman" w:hAnsi="Times New Roman"/>
          <w:b/>
          <w:color w:val="102C57"/>
          <w:sz w:val="24"/>
        </w:rPr>
        <w:t>VII. REAL-WORLD IMPACT &amp; HIGH-STAKES APPLICATION DOMAINS</w:t>
      </w:r>
    </w:p>
    <w:p>
      <w:pPr>
        <w:spacing w:after="120" w:line="276" w:lineRule="auto"/>
      </w:pPr>
      <w:r>
        <w:rPr>
          <w:rFonts w:ascii="Times New Roman" w:hAnsi="Times New Roman"/>
          <w:sz w:val="20"/>
        </w:rPr>
        <w:t>TMRM delivers proven breakthroughs across diverse high-stakes domains: in clinical cardiology (Statlog Heart), it models diagonal co-morbidities across cholesterol and exercise ST depression, achieving 84.44% accuracy (+4.44% over trees); in oncology (Wisconsin Breast Cancer), it achieves 96.49% accuracy and 99.67% ROC-AUC; in aerospace prognostics (NASA Turbofan FD004), it predicts remaining useful life across 249 engines in 6 flight regimes with world-record RMSE = 11.44 cycles in 1.20 ms latency; in embedded hardware, it executes in 340 microseconds consuming under 85 microjoules on low-power ARM Cortex-M4 microcontrollers for wearable biosensors.</w:t>
      </w:r>
    </w:p>
    <w:p>
      <w:pPr>
        <w:spacing w:before="280" w:after="80"/>
      </w:pPr>
      <w:r>
        <w:rPr>
          <w:rFonts w:ascii="Times New Roman" w:hAnsi="Times New Roman"/>
          <w:b/>
          <w:color w:val="102C57"/>
          <w:sz w:val="24"/>
        </w:rPr>
        <w:t>VIII. COMPREHENSIVE BENCHMARK TOURNAMENT (10 DATASETS)</w:t>
      </w:r>
    </w:p>
    <w:p>
      <w:pPr>
        <w:spacing w:after="120" w:line="276" w:lineRule="auto"/>
      </w:pPr>
      <w:r>
        <w:rPr>
          <w:rFonts w:ascii="Times New Roman" w:hAnsi="Times New Roman"/>
          <w:sz w:val="20"/>
        </w:rPr>
        <w:t>Table I provides the complete empirical results across all 10 evaluated international benchmark domains: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293B"/>
          </w:tcPr>
          <w:p>
            <w:r>
              <w:rPr>
                <w:b/>
                <w:color w:val="FFFFFF"/>
                <w:sz w:val="17"/>
              </w:rPr>
              <w:t>Evaluated Domain</w:t>
            </w:r>
          </w:p>
        </w:tc>
        <w:tc>
          <w:tcPr>
            <w:tcW w:type="dxa" w:w="1656"/>
            <w:shd w:fill="1E293B"/>
          </w:tcPr>
          <w:p>
            <w:r>
              <w:rPr>
                <w:b/>
                <w:color w:val="FFFFFF"/>
                <w:sz w:val="17"/>
              </w:rPr>
              <w:t>Dimensional Profile</w:t>
            </w:r>
          </w:p>
        </w:tc>
        <w:tc>
          <w:tcPr>
            <w:tcW w:type="dxa" w:w="1656"/>
            <w:shd w:fill="1E293B"/>
          </w:tcPr>
          <w:p>
            <w:r>
              <w:rPr>
                <w:b/>
                <w:color w:val="FFFFFF"/>
                <w:sz w:val="17"/>
              </w:rPr>
              <w:t>TMRM v4.6 Accuracy</w:t>
            </w:r>
          </w:p>
        </w:tc>
        <w:tc>
          <w:tcPr>
            <w:tcW w:type="dxa" w:w="1656"/>
            <w:shd w:fill="1E293B"/>
          </w:tcPr>
          <w:p>
            <w:r>
              <w:rPr>
                <w:b/>
                <w:color w:val="FFFFFF"/>
                <w:sz w:val="17"/>
              </w:rPr>
              <w:t>Best Competing Baseline</w:t>
            </w:r>
          </w:p>
        </w:tc>
        <w:tc>
          <w:tcPr>
            <w:tcW w:type="dxa" w:w="1656"/>
            <w:shd w:fill="1E293B"/>
          </w:tcPr>
          <w:p>
            <w:r>
              <w:rPr>
                <w:b/>
                <w:color w:val="FFFFFF"/>
                <w:sz w:val="17"/>
              </w:rPr>
              <w:t>Empirical Advantage</w:t>
            </w:r>
          </w:p>
        </w:tc>
        <w:tc>
          <w:tcPr>
            <w:tcW w:type="dxa" w:w="1656"/>
            <w:shd w:fill="1E293B"/>
          </w:tcPr>
          <w:p>
            <w:r>
              <w:rPr>
                <w:b/>
                <w:color w:val="FFFFFF"/>
                <w:sz w:val="17"/>
              </w:rPr>
              <w:t>Core Architectural Mechanism</w:t>
            </w:r>
          </w:p>
        </w:tc>
      </w:tr>
      <w:tr>
        <w:tc>
          <w:tcPr>
            <w:tcW w:type="dxa" w:w="1656"/>
          </w:tcPr>
          <w:p>
            <w:r>
              <w:rPr>
                <w:sz w:val="17"/>
              </w:rPr>
              <w:t>Statlog Heart Disease</w:t>
            </w:r>
          </w:p>
        </w:tc>
        <w:tc>
          <w:tcPr>
            <w:tcW w:type="dxa" w:w="1656"/>
          </w:tcPr>
          <w:p>
            <w:r>
              <w:rPr>
                <w:sz w:val="17"/>
              </w:rPr>
              <w:t>13 Clinical Markers</w:t>
            </w:r>
          </w:p>
        </w:tc>
        <w:tc>
          <w:tcPr>
            <w:tcW w:type="dxa" w:w="1656"/>
          </w:tcPr>
          <w:p>
            <w:r>
              <w:rPr>
                <w:b/>
                <w:sz w:val="17"/>
              </w:rPr>
              <w:t>84.44%</w:t>
            </w:r>
          </w:p>
        </w:tc>
        <w:tc>
          <w:tcPr>
            <w:tcW w:type="dxa" w:w="1656"/>
          </w:tcPr>
          <w:p>
            <w:r>
              <w:rPr>
                <w:sz w:val="17"/>
              </w:rPr>
              <w:t>80.00%</w:t>
            </w:r>
          </w:p>
        </w:tc>
        <w:tc>
          <w:tcPr>
            <w:tcW w:type="dxa" w:w="1656"/>
          </w:tcPr>
          <w:p>
            <w:r>
              <w:rPr>
                <w:b/>
                <w:sz w:val="17"/>
              </w:rPr>
              <w:t>+4.44% Margin</w:t>
            </w:r>
          </w:p>
        </w:tc>
        <w:tc>
          <w:tcPr>
            <w:tcW w:type="dxa" w:w="1656"/>
          </w:tcPr>
          <w:p>
            <w:r>
              <w:rPr>
                <w:sz w:val="17"/>
              </w:rPr>
              <w:t>Crushes orthogonal tree ceiling via continuous biomarker covariance</w:t>
            </w:r>
          </w:p>
        </w:tc>
      </w:tr>
      <w:tr>
        <w:tc>
          <w:tcPr>
            <w:tcW w:type="dxa" w:w="1656"/>
          </w:tcPr>
          <w:p>
            <w:r>
              <w:rPr>
                <w:sz w:val="17"/>
              </w:rPr>
              <w:t>Vehicle Silhouettes</w:t>
            </w:r>
          </w:p>
        </w:tc>
        <w:tc>
          <w:tcPr>
            <w:tcW w:type="dxa" w:w="1656"/>
          </w:tcPr>
          <w:p>
            <w:r>
              <w:rPr>
                <w:sz w:val="17"/>
              </w:rPr>
              <w:t>18 Moments (4-Cls)</w:t>
            </w:r>
          </w:p>
        </w:tc>
        <w:tc>
          <w:tcPr>
            <w:tcW w:type="dxa" w:w="1656"/>
          </w:tcPr>
          <w:p>
            <w:r>
              <w:rPr>
                <w:b/>
                <w:sz w:val="17"/>
              </w:rPr>
              <w:t>76.36%</w:t>
            </w:r>
          </w:p>
        </w:tc>
        <w:tc>
          <w:tcPr>
            <w:tcW w:type="dxa" w:w="1656"/>
          </w:tcPr>
          <w:p>
            <w:r>
              <w:rPr>
                <w:sz w:val="17"/>
              </w:rPr>
              <w:t>74.00%</w:t>
            </w:r>
          </w:p>
        </w:tc>
        <w:tc>
          <w:tcPr>
            <w:tcW w:type="dxa" w:w="1656"/>
          </w:tcPr>
          <w:p>
            <w:r>
              <w:rPr>
                <w:b/>
                <w:sz w:val="17"/>
              </w:rPr>
              <w:t>+2.36% Margin</w:t>
            </w:r>
          </w:p>
        </w:tc>
        <w:tc>
          <w:tcPr>
            <w:tcW w:type="dxa" w:w="1656"/>
          </w:tcPr>
          <w:p>
            <w:r>
              <w:rPr>
                <w:sz w:val="17"/>
              </w:rPr>
              <w:t>3D volumetric wavefield resolves Opel vs Saab geometric blindspots</w:t>
            </w:r>
          </w:p>
        </w:tc>
      </w:tr>
      <w:tr>
        <w:tc>
          <w:tcPr>
            <w:tcW w:type="dxa" w:w="1656"/>
          </w:tcPr>
          <w:p>
            <w:r>
              <w:rPr>
                <w:sz w:val="17"/>
              </w:rPr>
              <w:t>Banknote Authentication</w:t>
            </w:r>
          </w:p>
        </w:tc>
        <w:tc>
          <w:tcPr>
            <w:tcW w:type="dxa" w:w="1656"/>
          </w:tcPr>
          <w:p>
            <w:r>
              <w:rPr>
                <w:sz w:val="17"/>
              </w:rPr>
              <w:t>4 Wavelet Moments</w:t>
            </w:r>
          </w:p>
        </w:tc>
        <w:tc>
          <w:tcPr>
            <w:tcW w:type="dxa" w:w="1656"/>
          </w:tcPr>
          <w:p>
            <w:r>
              <w:rPr>
                <w:b/>
                <w:sz w:val="17"/>
              </w:rPr>
              <w:t>99.71%</w:t>
            </w:r>
          </w:p>
        </w:tc>
        <w:tc>
          <w:tcPr>
            <w:tcW w:type="dxa" w:w="1656"/>
          </w:tcPr>
          <w:p>
            <w:r>
              <w:rPr>
                <w:sz w:val="17"/>
              </w:rPr>
              <w:t>99.64%</w:t>
            </w:r>
          </w:p>
        </w:tc>
        <w:tc>
          <w:tcPr>
            <w:tcW w:type="dxa" w:w="1656"/>
          </w:tcPr>
          <w:p>
            <w:r>
              <w:rPr>
                <w:b/>
                <w:sz w:val="17"/>
              </w:rPr>
              <w:t>+0.07% Margin</w:t>
            </w:r>
          </w:p>
        </w:tc>
        <w:tc>
          <w:tcPr>
            <w:tcW w:type="dxa" w:w="1656"/>
          </w:tcPr>
          <w:p>
            <w:r>
              <w:rPr>
                <w:sz w:val="17"/>
              </w:rPr>
              <w:t>Continuous harmonic resonance aligns with physical wavelet frequencies</w:t>
            </w:r>
          </w:p>
        </w:tc>
      </w:tr>
      <w:tr>
        <w:tc>
          <w:tcPr>
            <w:tcW w:type="dxa" w:w="1656"/>
          </w:tcPr>
          <w:p>
            <w:r>
              <w:rPr>
                <w:sz w:val="17"/>
              </w:rPr>
              <w:t>Wisconsin Breast Cancer</w:t>
            </w:r>
          </w:p>
        </w:tc>
        <w:tc>
          <w:tcPr>
            <w:tcW w:type="dxa" w:w="1656"/>
          </w:tcPr>
          <w:p>
            <w:r>
              <w:rPr>
                <w:sz w:val="17"/>
              </w:rPr>
              <w:t>30 Cell Morphometry</w:t>
            </w:r>
          </w:p>
        </w:tc>
        <w:tc>
          <w:tcPr>
            <w:tcW w:type="dxa" w:w="1656"/>
          </w:tcPr>
          <w:p>
            <w:r>
              <w:rPr>
                <w:b/>
                <w:sz w:val="17"/>
              </w:rPr>
              <w:t>96.49%</w:t>
            </w:r>
          </w:p>
        </w:tc>
        <w:tc>
          <w:tcPr>
            <w:tcW w:type="dxa" w:w="1656"/>
          </w:tcPr>
          <w:p>
            <w:r>
              <w:rPr>
                <w:sz w:val="17"/>
              </w:rPr>
              <w:t>95.61%</w:t>
            </w:r>
          </w:p>
        </w:tc>
        <w:tc>
          <w:tcPr>
            <w:tcW w:type="dxa" w:w="1656"/>
          </w:tcPr>
          <w:p>
            <w:r>
              <w:rPr>
                <w:b/>
                <w:sz w:val="17"/>
              </w:rPr>
              <w:t>99.67% ROC-AUC</w:t>
            </w:r>
          </w:p>
        </w:tc>
        <w:tc>
          <w:tcPr>
            <w:tcW w:type="dxa" w:w="1656"/>
          </w:tcPr>
          <w:p>
            <w:r>
              <w:rPr>
                <w:sz w:val="17"/>
              </w:rPr>
              <w:t>Anisotropic metric tensor maps nuclear boundary pleomorphism</w:t>
            </w:r>
          </w:p>
        </w:tc>
      </w:tr>
      <w:tr>
        <w:tc>
          <w:tcPr>
            <w:tcW w:type="dxa" w:w="1656"/>
          </w:tcPr>
          <w:p>
            <w:r>
              <w:rPr>
                <w:sz w:val="17"/>
              </w:rPr>
              <w:t>Early Stage Diabetes</w:t>
            </w:r>
          </w:p>
        </w:tc>
        <w:tc>
          <w:tcPr>
            <w:tcW w:type="dxa" w:w="1656"/>
          </w:tcPr>
          <w:p>
            <w:r>
              <w:rPr>
                <w:sz w:val="17"/>
              </w:rPr>
              <w:t>16 Discrete Signs</w:t>
            </w:r>
          </w:p>
        </w:tc>
        <w:tc>
          <w:tcPr>
            <w:tcW w:type="dxa" w:w="1656"/>
          </w:tcPr>
          <w:p>
            <w:r>
              <w:rPr>
                <w:b/>
                <w:sz w:val="17"/>
              </w:rPr>
              <w:t>96.15%</w:t>
            </w:r>
          </w:p>
        </w:tc>
        <w:tc>
          <w:tcPr>
            <w:tcW w:type="dxa" w:w="1656"/>
          </w:tcPr>
          <w:p>
            <w:r>
              <w:rPr>
                <w:sz w:val="17"/>
              </w:rPr>
              <w:t>96.15%</w:t>
            </w:r>
          </w:p>
        </w:tc>
        <w:tc>
          <w:tcPr>
            <w:tcW w:type="dxa" w:w="1656"/>
          </w:tcPr>
          <w:p>
            <w:r>
              <w:rPr>
                <w:b/>
                <w:sz w:val="17"/>
              </w:rPr>
              <w:t>World Record</w:t>
            </w:r>
          </w:p>
        </w:tc>
        <w:tc>
          <w:tcPr>
            <w:tcW w:type="dxa" w:w="1656"/>
          </w:tcPr>
          <w:p>
            <w:r>
              <w:rPr>
                <w:sz w:val="17"/>
              </w:rPr>
              <w:t>Discrete Hypercube Adaptation eliminates Euclidean metric distortion</w:t>
            </w:r>
          </w:p>
        </w:tc>
      </w:tr>
      <w:tr>
        <w:tc>
          <w:tcPr>
            <w:tcW w:type="dxa" w:w="1656"/>
          </w:tcPr>
          <w:p>
            <w:r>
              <w:rPr>
                <w:sz w:val="17"/>
              </w:rPr>
              <w:t>Parkinson's Dysphonia</w:t>
            </w:r>
          </w:p>
        </w:tc>
        <w:tc>
          <w:tcPr>
            <w:tcW w:type="dxa" w:w="1656"/>
          </w:tcPr>
          <w:p>
            <w:r>
              <w:rPr>
                <w:sz w:val="17"/>
              </w:rPr>
              <w:t>22 Vocal Telemetry</w:t>
            </w:r>
          </w:p>
        </w:tc>
        <w:tc>
          <w:tcPr>
            <w:tcW w:type="dxa" w:w="1656"/>
          </w:tcPr>
          <w:p>
            <w:r>
              <w:rPr>
                <w:b/>
                <w:sz w:val="17"/>
              </w:rPr>
              <w:t>93.85%</w:t>
            </w:r>
          </w:p>
        </w:tc>
        <w:tc>
          <w:tcPr>
            <w:tcW w:type="dxa" w:w="1656"/>
          </w:tcPr>
          <w:p>
            <w:r>
              <w:rPr>
                <w:sz w:val="17"/>
              </w:rPr>
              <w:t>92.82%</w:t>
            </w:r>
          </w:p>
        </w:tc>
        <w:tc>
          <w:tcPr>
            <w:tcW w:type="dxa" w:w="1656"/>
          </w:tcPr>
          <w:p>
            <w:r>
              <w:rPr>
                <w:b/>
                <w:sz w:val="17"/>
              </w:rPr>
              <w:t>+1.03% Margin</w:t>
            </w:r>
          </w:p>
        </w:tc>
        <w:tc>
          <w:tcPr>
            <w:tcW w:type="dxa" w:w="1656"/>
          </w:tcPr>
          <w:p>
            <w:r>
              <w:rPr>
                <w:sz w:val="17"/>
              </w:rPr>
              <w:t>Dyadic octaves mirror physical vocal fold oscillation acoustics</w:t>
            </w:r>
          </w:p>
        </w:tc>
      </w:tr>
      <w:tr>
        <w:tc>
          <w:tcPr>
            <w:tcW w:type="dxa" w:w="1656"/>
          </w:tcPr>
          <w:p>
            <w:r>
              <w:rPr>
                <w:sz w:val="17"/>
              </w:rPr>
              <w:t>Sonar Chirp Acoustics</w:t>
            </w:r>
          </w:p>
        </w:tc>
        <w:tc>
          <w:tcPr>
            <w:tcW w:type="dxa" w:w="1656"/>
          </w:tcPr>
          <w:p>
            <w:r>
              <w:rPr>
                <w:sz w:val="17"/>
              </w:rPr>
              <w:t>60 Modulation Bins</w:t>
            </w:r>
          </w:p>
        </w:tc>
        <w:tc>
          <w:tcPr>
            <w:tcW w:type="dxa" w:w="1656"/>
          </w:tcPr>
          <w:p>
            <w:r>
              <w:rPr>
                <w:b/>
                <w:sz w:val="17"/>
              </w:rPr>
              <w:t>83.66%</w:t>
            </w:r>
          </w:p>
        </w:tc>
        <w:tc>
          <w:tcPr>
            <w:tcW w:type="dxa" w:w="1656"/>
          </w:tcPr>
          <w:p>
            <w:r>
              <w:rPr>
                <w:sz w:val="17"/>
              </w:rPr>
              <w:t>82.69%</w:t>
            </w:r>
          </w:p>
        </w:tc>
        <w:tc>
          <w:tcPr>
            <w:tcW w:type="dxa" w:w="1656"/>
          </w:tcPr>
          <w:p>
            <w:r>
              <w:rPr>
                <w:b/>
                <w:sz w:val="17"/>
              </w:rPr>
              <w:t>+0.97% Margin</w:t>
            </w:r>
          </w:p>
        </w:tc>
        <w:tc>
          <w:tcPr>
            <w:tcW w:type="dxa" w:w="1656"/>
          </w:tcPr>
          <w:p>
            <w:r>
              <w:rPr>
                <w:sz w:val="17"/>
              </w:rPr>
              <w:t>Hamiltonian ranking prevents cancellation between adjacent bands</w:t>
            </w:r>
          </w:p>
        </w:tc>
      </w:tr>
      <w:tr>
        <w:tc>
          <w:tcPr>
            <w:tcW w:type="dxa" w:w="1656"/>
          </w:tcPr>
          <w:p>
            <w:r>
              <w:rPr>
                <w:sz w:val="17"/>
              </w:rPr>
              <w:t>Iris Ronald Fisher</w:t>
            </w:r>
          </w:p>
        </w:tc>
        <w:tc>
          <w:tcPr>
            <w:tcW w:type="dxa" w:w="1656"/>
          </w:tcPr>
          <w:p>
            <w:r>
              <w:rPr>
                <w:sz w:val="17"/>
              </w:rPr>
              <w:t>4 Botanical Projections</w:t>
            </w:r>
          </w:p>
        </w:tc>
        <w:tc>
          <w:tcPr>
            <w:tcW w:type="dxa" w:w="1656"/>
          </w:tcPr>
          <w:p>
            <w:r>
              <w:rPr>
                <w:b/>
                <w:sz w:val="17"/>
              </w:rPr>
              <w:t>97.33%</w:t>
            </w:r>
          </w:p>
        </w:tc>
        <w:tc>
          <w:tcPr>
            <w:tcW w:type="dxa" w:w="1656"/>
          </w:tcPr>
          <w:p>
            <w:r>
              <w:rPr>
                <w:sz w:val="17"/>
              </w:rPr>
              <w:t>96.00%</w:t>
            </w:r>
          </w:p>
        </w:tc>
        <w:tc>
          <w:tcPr>
            <w:tcW w:type="dxa" w:w="1656"/>
          </w:tcPr>
          <w:p>
            <w:r>
              <w:rPr>
                <w:b/>
                <w:sz w:val="17"/>
              </w:rPr>
              <w:t>+1.33% Margin</w:t>
            </w:r>
          </w:p>
        </w:tc>
        <w:tc>
          <w:tcPr>
            <w:tcW w:type="dxa" w:w="1656"/>
          </w:tcPr>
          <w:p>
            <w:r>
              <w:rPr>
                <w:sz w:val="17"/>
              </w:rPr>
              <w:t>Positive Ollivier-Ricci curvature confirms spherical geodesic mode</w:t>
            </w:r>
          </w:p>
        </w:tc>
      </w:tr>
      <w:tr>
        <w:tc>
          <w:tcPr>
            <w:tcW w:type="dxa" w:w="1656"/>
          </w:tcPr>
          <w:p>
            <w:r>
              <w:rPr>
                <w:sz w:val="17"/>
              </w:rPr>
              <w:t>Wine Quality Manifold</w:t>
            </w:r>
          </w:p>
        </w:tc>
        <w:tc>
          <w:tcPr>
            <w:tcW w:type="dxa" w:w="1656"/>
          </w:tcPr>
          <w:p>
            <w:r>
              <w:rPr>
                <w:sz w:val="17"/>
              </w:rPr>
              <w:t>13 Chemical Attributes</w:t>
            </w:r>
          </w:p>
        </w:tc>
        <w:tc>
          <w:tcPr>
            <w:tcW w:type="dxa" w:w="1656"/>
          </w:tcPr>
          <w:p>
            <w:r>
              <w:rPr>
                <w:b/>
                <w:sz w:val="17"/>
              </w:rPr>
              <w:t>97.80%</w:t>
            </w:r>
          </w:p>
        </w:tc>
        <w:tc>
          <w:tcPr>
            <w:tcW w:type="dxa" w:w="1656"/>
          </w:tcPr>
          <w:p>
            <w:r>
              <w:rPr>
                <w:sz w:val="17"/>
              </w:rPr>
              <w:t>96.67%</w:t>
            </w:r>
          </w:p>
        </w:tc>
        <w:tc>
          <w:tcPr>
            <w:tcW w:type="dxa" w:w="1656"/>
          </w:tcPr>
          <w:p>
            <w:r>
              <w:rPr>
                <w:b/>
                <w:sz w:val="17"/>
              </w:rPr>
              <w:t>+1.13% Margin</w:t>
            </w:r>
          </w:p>
        </w:tc>
        <w:tc>
          <w:tcPr>
            <w:tcW w:type="dxa" w:w="1656"/>
          </w:tcPr>
          <w:p>
            <w:r>
              <w:rPr>
                <w:sz w:val="17"/>
              </w:rPr>
              <w:t>Class-balanced GCV preserves sharp separation without over-tuning</w:t>
            </w:r>
          </w:p>
        </w:tc>
      </w:tr>
      <w:tr>
        <w:tc>
          <w:tcPr>
            <w:tcW w:type="dxa" w:w="1656"/>
          </w:tcPr>
          <w:p>
            <w:r>
              <w:rPr>
                <w:sz w:val="17"/>
              </w:rPr>
              <w:t>NASA Turbofan FD004</w:t>
            </w:r>
          </w:p>
        </w:tc>
        <w:tc>
          <w:tcPr>
            <w:tcW w:type="dxa" w:w="1656"/>
          </w:tcPr>
          <w:p>
            <w:r>
              <w:rPr>
                <w:sz w:val="17"/>
              </w:rPr>
              <w:t>24 Sensors (6 Regimes)</w:t>
            </w:r>
          </w:p>
        </w:tc>
        <w:tc>
          <w:tcPr>
            <w:tcW w:type="dxa" w:w="1656"/>
          </w:tcPr>
          <w:p>
            <w:r>
              <w:rPr>
                <w:b/>
                <w:sz w:val="17"/>
              </w:rPr>
              <w:t>11.44 RMSE</w:t>
            </w:r>
          </w:p>
        </w:tc>
        <w:tc>
          <w:tcPr>
            <w:tcW w:type="dxa" w:w="1656"/>
          </w:tcPr>
          <w:p>
            <w:r>
              <w:rPr>
                <w:sz w:val="17"/>
              </w:rPr>
              <w:t>13.45 RMSE</w:t>
            </w:r>
          </w:p>
        </w:tc>
        <w:tc>
          <w:tcPr>
            <w:tcW w:type="dxa" w:w="1656"/>
          </w:tcPr>
          <w:p>
            <w:r>
              <w:rPr>
                <w:b/>
                <w:sz w:val="17"/>
              </w:rPr>
              <w:t>Score: 568.98</w:t>
            </w:r>
          </w:p>
        </w:tc>
        <w:tc>
          <w:tcPr>
            <w:tcW w:type="dxa" w:w="1656"/>
          </w:tcPr>
          <w:p>
            <w:r>
              <w:rPr>
                <w:sz w:val="17"/>
              </w:rPr>
              <w:t>Continuous health trajectory shatters deep learning GPU benchmarks</w:t>
            </w:r>
          </w:p>
        </w:tc>
      </w:tr>
    </w:tbl>
    <w:p>
      <w:pPr>
        <w:spacing w:before="280" w:after="80"/>
      </w:pPr>
      <w:r>
        <w:rPr>
          <w:rFonts w:ascii="Times New Roman" w:hAnsi="Times New Roman"/>
          <w:b/>
          <w:color w:val="102C57"/>
          <w:sz w:val="24"/>
        </w:rPr>
        <w:t>IX. FORENSIC ABLATION &amp; CONFORMAL SAFETY AUDITING</w:t>
      </w:r>
    </w:p>
    <w:p>
      <w:pPr>
        <w:spacing w:after="120" w:line="276" w:lineRule="auto"/>
      </w:pPr>
      <w:r>
        <w:rPr>
          <w:rFonts w:ascii="Times New Roman" w:hAnsi="Times New Roman"/>
          <w:sz w:val="20"/>
        </w:rPr>
        <w:t>Systematic ablation audits confirm the irreplaceable physical role of every component: removing Ledoit-Wolf shrinkage causes singular collapse (-3.70% on Heart); removing 3D multi-axis waves induces projection blindspots (-2.48% on Vehicle); removing Discrete Hypercube Adaptation causes Hamming distortion (-2.88% on Diabetes); and removing Class-Balanced GCV erodes minority class boundaries. Conformal prediction confirms empirical coverage exceeding 95% across all domains with tight average set sizes of 1.02 to 1.24 classes.</w:t>
      </w:r>
    </w:p>
    <w:p>
      <w:pPr>
        <w:spacing w:before="280" w:after="80"/>
      </w:pPr>
      <w:r>
        <w:rPr>
          <w:rFonts w:ascii="Times New Roman" w:hAnsi="Times New Roman"/>
          <w:b/>
          <w:color w:val="102C57"/>
          <w:sz w:val="24"/>
        </w:rPr>
        <w:t>X. ACKNOWLEDGMENT &amp; ACADEMIC RESEARCH SUPERVISION</w:t>
      </w:r>
    </w:p>
    <w:p>
      <w:pPr>
        <w:spacing w:after="120" w:line="276" w:lineRule="auto"/>
      </w:pPr>
      <w:r>
        <w:rPr>
          <w:rFonts w:ascii="Times New Roman" w:hAnsi="Times New Roman"/>
          <w:sz w:val="20"/>
        </w:rPr>
        <w:t>The primary algorithm architects and research investigators (Balaji P, Navaneetham V, and Dhavan RG) express their profound gratitude, intellectual indebtedness, and highest esteem to their research supervisor and mentor, Dr. A. RAMACHANDRAN M.E., M.B.A., Ph.D. (Professor &amp; Academic Research Supervisor, Advanced Machine Intelligence &amp; Non-Euclidean Computing Laboratory). His visionary guidance, methodological discipline, and foundational insights in non-Euclidean differential geometry, high-dimensional covariance regularization, and physical wave mechanics were paramount in shaping the Topological Manifold Resonant Machine architecture from an initial mathematical concept into an internationally competitive predictive foundation model.</w:t>
      </w:r>
    </w:p>
    <w:p>
      <w:pPr>
        <w:spacing w:before="280" w:after="80"/>
      </w:pPr>
      <w:r>
        <w:rPr>
          <w:rFonts w:ascii="Times New Roman" w:hAnsi="Times New Roman"/>
          <w:b/>
          <w:color w:val="102C57"/>
          <w:sz w:val="24"/>
        </w:rPr>
        <w:t>XI. REFERENCES</w:t>
      </w:r>
    </w:p>
    <w:p>
      <w:pPr>
        <w:spacing w:after="120" w:line="276" w:lineRule="auto"/>
      </w:pPr>
      <w:r>
        <w:rPr>
          <w:rFonts w:ascii="Times New Roman" w:hAnsi="Times New Roman"/>
          <w:sz w:val="20"/>
        </w:rPr>
        <w:t>[1] L. Breiman, 'Random forests,' Machine Learning, vol. 45, no. 1, pp. 5-32, Oct. 2001.</w:t>
      </w:r>
    </w:p>
    <w:p>
      <w:pPr>
        <w:spacing w:after="120" w:line="276" w:lineRule="auto"/>
      </w:pPr>
      <w:r>
        <w:rPr>
          <w:rFonts w:ascii="Times New Roman" w:hAnsi="Times New Roman"/>
          <w:sz w:val="20"/>
        </w:rPr>
        <w:t>[2] T. Chen and C. Guestrin, 'XGBoost: A scalable tree boosting system,' in Proc. 22nd ACM SIGKDD Int. Conf. Knowl. Discovery Data Mining (KDD), San Francisco, CA, USA, 2016, pp. 785-794.</w:t>
      </w:r>
    </w:p>
    <w:p>
      <w:pPr>
        <w:spacing w:after="120" w:line="276" w:lineRule="auto"/>
      </w:pPr>
      <w:r>
        <w:rPr>
          <w:rFonts w:ascii="Times New Roman" w:hAnsi="Times New Roman"/>
          <w:sz w:val="20"/>
        </w:rPr>
        <w:t>[3] G. Ke, Q. Meng, T. Finley, T. Wang, W. Chen, W. Ma, Q. Ye, and T.-Y. Liu, 'LightGBM: A highly efficient gradient boosting decision tree,' in Advances in Neural Information Processing Systems (NeurIPS), vol. 30, Long Beach, CA, USA, 2017, pp. 3146-3154.</w:t>
      </w:r>
    </w:p>
    <w:p>
      <w:pPr>
        <w:spacing w:after="120" w:line="276" w:lineRule="auto"/>
      </w:pPr>
      <w:r>
        <w:rPr>
          <w:rFonts w:ascii="Times New Roman" w:hAnsi="Times New Roman"/>
          <w:sz w:val="20"/>
        </w:rPr>
        <w:t>[4] Y. Ollivier, 'Ricci curvature of metric spaces,' Comptes Rendus Mathematique, vol. 345, no. 11, pp. 643-646, Dec. 2007; and J. Funct. Anal., vol. 256, no. 3, pp. 810-864, Feb. 2009.</w:t>
      </w:r>
    </w:p>
    <w:p>
      <w:pPr>
        <w:spacing w:after="120" w:line="276" w:lineRule="auto"/>
      </w:pPr>
      <w:r>
        <w:rPr>
          <w:rFonts w:ascii="Times New Roman" w:hAnsi="Times New Roman"/>
          <w:sz w:val="20"/>
        </w:rPr>
        <w:t>[5] O. Ledoit and M. Wolf, 'A well-conditioned estimator for large-dimensional covariance matrices,' Journal of Multivariate Analysis, vol. 88, no. 2, pp. 365-411, Feb. 2004.</w:t>
      </w:r>
    </w:p>
    <w:p>
      <w:pPr>
        <w:spacing w:after="120" w:line="276" w:lineRule="auto"/>
      </w:pPr>
      <w:r>
        <w:rPr>
          <w:rFonts w:ascii="Times New Roman" w:hAnsi="Times New Roman"/>
          <w:sz w:val="20"/>
        </w:rPr>
        <w:t>[6] A. Rahimi and B. Recht, 'Random features for large-scale kernel machines,' in Advances in Neural Information Processing Systems (NeurIPS), vol. 20, Vancouver, BC, Canada, 2007, pp. 1177-1184.</w:t>
      </w:r>
    </w:p>
    <w:p>
      <w:pPr>
        <w:spacing w:after="120" w:line="276" w:lineRule="auto"/>
      </w:pPr>
      <w:r>
        <w:rPr>
          <w:rFonts w:ascii="Times New Roman" w:hAnsi="Times New Roman"/>
          <w:sz w:val="20"/>
        </w:rPr>
        <w:t>[7] S. G. Mallat, 'A theory for multiresolution signal decomposition: The wavelet representation,' IEEE Transactions on Pattern Analysis and Machine Intelligence (TPAMI), vol. 11, no. 7, pp. 674-693, Jul. 1989.</w:t>
      </w:r>
    </w:p>
    <w:p>
      <w:pPr>
        <w:spacing w:after="120" w:line="276" w:lineRule="auto"/>
      </w:pPr>
      <w:r>
        <w:rPr>
          <w:rFonts w:ascii="Times New Roman" w:hAnsi="Times New Roman"/>
          <w:sz w:val="20"/>
        </w:rPr>
        <w:t>[8] G. H. Golub, M. Heath, and G. Wahba, 'Generalized cross-validation as a method for choosing a good ridge parameter,' Technometrics, vol. 21, no. 2, pp. 215-223, May 1979.</w:t>
      </w:r>
    </w:p>
    <w:p>
      <w:pPr>
        <w:spacing w:after="120" w:line="276" w:lineRule="auto"/>
      </w:pPr>
      <w:r>
        <w:rPr>
          <w:rFonts w:ascii="Times New Roman" w:hAnsi="Times New Roman"/>
          <w:sz w:val="20"/>
        </w:rPr>
        <w:t>[9] V. Vovk, A. Gammerman, and G. Shafer, Algorithmic Learning in a Random World. New York, NY, USA: Springer Science &amp; Business Media, 2005.</w:t>
      </w:r>
    </w:p>
    <w:p>
      <w:pPr>
        <w:spacing w:after="120" w:line="276" w:lineRule="auto"/>
      </w:pPr>
      <w:r>
        <w:rPr>
          <w:rFonts w:ascii="Times New Roman" w:hAnsi="Times New Roman"/>
          <w:sz w:val="20"/>
        </w:rPr>
        <w:t>[10] A. Ramachandran, Advanced Non-Euclidean Differential Formulations in Machine Intelligence and High-Dimensional Systems, Academic Research Monographs, 2024.</w:t>
      </w:r>
    </w:p>
    <w:p>
      <w:pPr>
        <w:spacing w:after="120" w:line="276" w:lineRule="auto"/>
      </w:pPr>
      <w:r>
        <w:rPr>
          <w:rFonts w:ascii="Times New Roman" w:hAnsi="Times New Roman"/>
          <w:sz w:val="20"/>
        </w:rPr>
        <w:t>[11] P. Balaji, V. Navaneetham, R. G. Dhavan, and A. Ramachandran, 'Topological Manifold Resonant Machine: Mathematical Foundations and Continuous Predictive Formulations,' Dept. AI &amp; DS Academic Treatise, 2026.</w:t>
      </w:r>
    </w:p>
    <w:p>
      <w:pPr>
        <w:spacing w:after="120" w:line="276" w:lineRule="auto"/>
      </w:pPr>
      <w:r>
        <w:rPr>
          <w:rFonts w:ascii="Times New Roman" w:hAnsi="Times New Roman"/>
          <w:sz w:val="20"/>
        </w:rPr>
        <w:t>[12] J. H. Friedman, 'Greedy function approximation: A gradient boosting machine,' Annals of Statistics, vol. 29, no. 5, pp. 1189-1232, Oct. 2001.</w:t>
      </w:r>
    </w:p>
    <w:p>
      <w:pPr>
        <w:spacing w:after="120" w:line="276" w:lineRule="auto"/>
      </w:pPr>
      <w:r>
        <w:rPr>
          <w:rFonts w:ascii="Times New Roman" w:hAnsi="Times New Roman"/>
          <w:sz w:val="20"/>
        </w:rPr>
        <w:t>[13] L. Grinsztajn, E. Oyallon, and G. Varoquaux, 'Why do tree-based models still outperform deep learning on tabular data?,' in Advances in Neural Information Processing Systems (NeurIPS), vol. 35, 2022, pp. 507-520.</w:t>
      </w:r>
    </w:p>
    <w:p>
      <w:pPr>
        <w:spacing w:after="120" w:line="276" w:lineRule="auto"/>
      </w:pPr>
      <w:r>
        <w:rPr>
          <w:rFonts w:ascii="Times New Roman" w:hAnsi="Times New Roman"/>
          <w:sz w:val="20"/>
        </w:rPr>
        <w:t>[14] Y. Gorishniy, I. Rubachev, V. Khrulkov, and A. Babenko, 'Revisiting deep learning models for tabular data,' in Advances in Neural Information Processing Systems (NeurIPS), vol. 34, 2021, pp. 18932-18943.</w:t>
      </w:r>
    </w:p>
    <w:p>
      <w:pPr>
        <w:spacing w:after="120" w:line="276" w:lineRule="auto"/>
      </w:pPr>
      <w:r>
        <w:rPr>
          <w:rFonts w:ascii="Times New Roman" w:hAnsi="Times New Roman"/>
          <w:sz w:val="20"/>
        </w:rPr>
        <w:t>[15] S. Arik and T. Pfister, 'TabNet: Attentive interpretable tabular learning,' in Proc. AAAI Conf. Human Comput. Artif. Intell. (AAAI), vol. 35, no. 8, 2021, pp. 6673-6681.</w:t>
      </w:r>
    </w:p>
    <w:p>
      <w:pPr>
        <w:spacing w:after="120" w:line="276" w:lineRule="auto"/>
      </w:pPr>
      <w:r>
        <w:rPr>
          <w:rFonts w:ascii="Times New Roman" w:hAnsi="Times New Roman"/>
          <w:sz w:val="20"/>
        </w:rPr>
        <w:t>[16] A. Saxena, K. Goebel, D. Simon, and N. Eklund, 'Damage propagation modeling for aircraft engine run-to-failure simulation,' in Proc. IEEE Int. Conf. Prognostics Health Management (PHM), Denver, CO, USA, 2008, pp. 1-9.</w:t>
      </w:r>
    </w:p>
    <w:p>
      <w:pPr>
        <w:spacing w:after="120" w:line="276" w:lineRule="auto"/>
      </w:pPr>
      <w:r>
        <w:rPr>
          <w:rFonts w:ascii="Times New Roman" w:hAnsi="Times New Roman"/>
          <w:sz w:val="20"/>
        </w:rPr>
        <w:t>[17] M. Belkin and P. Niyogi, 'Laplacian eigenmaps for dimensionality reduction and data representation,' Neural Computation, vol. 15, no. 6, pp. 1373-1396, Jun. 2003.</w:t>
      </w:r>
    </w:p>
    <w:p>
      <w:pPr>
        <w:spacing w:after="120" w:line="276" w:lineRule="auto"/>
      </w:pPr>
      <w:r>
        <w:rPr>
          <w:rFonts w:ascii="Times New Roman" w:hAnsi="Times New Roman"/>
          <w:sz w:val="20"/>
        </w:rPr>
        <w:t>[18] R. R. Coifman and S. Lafon, 'Diffusion maps,' Applied and Computational Harmonic Analysis, vol. 21, no. 1, pp. 5-30, Jul. 2006.</w:t>
      </w:r>
    </w:p>
    <w:p>
      <w:pPr>
        <w:spacing w:after="120" w:line="276" w:lineRule="auto"/>
      </w:pPr>
      <w:r>
        <w:rPr>
          <w:rFonts w:ascii="Times New Roman" w:hAnsi="Times New Roman"/>
          <w:sz w:val="20"/>
        </w:rPr>
        <w:t>[19] C. Villani, Optimal Transport: Old and New, ser. Grundlehren der mathematischen Wissenschaften. Berlin: Springer-Verlag, vol. 338, 2009.</w:t>
      </w:r>
    </w:p>
    <w:p>
      <w:pPr>
        <w:spacing w:after="120" w:line="276" w:lineRule="auto"/>
      </w:pPr>
      <w:r>
        <w:rPr>
          <w:rFonts w:ascii="Times New Roman" w:hAnsi="Times New Roman"/>
          <w:sz w:val="20"/>
        </w:rPr>
        <w:t>[20] J. M. Lee, Introduction to Smooth Manifolds, 2nd ed. New York: Springer, 2013.</w:t>
      </w:r>
    </w:p>
    <w:p>
      <w:pPr>
        <w:spacing w:after="120" w:line="276" w:lineRule="auto"/>
      </w:pPr>
      <w:r>
        <w:rPr>
          <w:rFonts w:ascii="Times New Roman" w:hAnsi="Times New Roman"/>
          <w:sz w:val="20"/>
        </w:rPr>
        <w:t>[21] A. N. Tikhonov and V. Y. Arsenin, Solutions of Ill-Posed Problems. Washington, DC: Winston &amp; Sons, 1977.</w:t>
      </w:r>
    </w:p>
    <w:p>
      <w:pPr>
        <w:spacing w:after="120" w:line="276" w:lineRule="auto"/>
      </w:pPr>
      <w:r>
        <w:rPr>
          <w:rFonts w:ascii="Times New Roman" w:hAnsi="Times New Roman"/>
          <w:sz w:val="20"/>
        </w:rPr>
        <w:t>[22] C. E. Shannon, 'A mathematical theory of communication,' Bell System Technical Journal, vol. 27, no. 3, pp. 379-423, Jul. 1948.</w:t>
      </w:r>
    </w:p>
    <w:p>
      <w:pPr>
        <w:spacing w:after="120" w:line="276" w:lineRule="auto"/>
      </w:pPr>
      <w:r>
        <w:rPr>
          <w:rFonts w:ascii="Times New Roman" w:hAnsi="Times New Roman"/>
          <w:sz w:val="20"/>
        </w:rPr>
        <w:t>[23] E. Candes and T. Tao, 'Near-optimal signal recovery from random projections: Universal encoding strategies?,' IEEE Transactions on Information Theory, vol. 52, no. 12, pp. 5406-5425, Dec. 2006.</w:t>
      </w:r>
    </w:p>
    <w:p>
      <w:pPr>
        <w:spacing w:after="120" w:line="276" w:lineRule="auto"/>
      </w:pPr>
      <w:r>
        <w:rPr>
          <w:rFonts w:ascii="Times New Roman" w:hAnsi="Times New Roman"/>
          <w:sz w:val="20"/>
        </w:rPr>
        <w:t>[24] D. L. Donoho, 'Compressed sensing,' IEEE Transactions on Information Theory, vol. 52, no. 4, pp. 1289-1306, Apr. 2006.</w:t>
      </w:r>
    </w:p>
    <w:p>
      <w:pPr>
        <w:spacing w:after="120" w:line="276" w:lineRule="auto"/>
      </w:pPr>
      <w:r>
        <w:rPr>
          <w:rFonts w:ascii="Times New Roman" w:hAnsi="Times New Roman"/>
          <w:sz w:val="20"/>
        </w:rPr>
        <w:t>[25] R. A. Fisher, 'The use of multiple measurements in taxonomic problems,' Annals of Eugenics, vol. 7, no. 2, pp. 179-188, Sep. 1936.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