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C57"/>
          <w:sz w:val="32"/>
        </w:rPr>
        <w:t>Topological Manifold Resonant Machine (TMRM v4.6):</w:t>
        <w:br/>
        <w:t>A Unified Non-Euclidean Wave Resonant Architecture for Continuous Predictive Modeling and Industrial Prognostics</w:t>
      </w:r>
    </w:p>
    <w:p>
      <w:pPr>
        <w:jc w:val="center"/>
      </w:pPr>
      <w:r>
        <w:rPr>
          <w:rFonts w:ascii="Times New Roman" w:hAnsi="Times New Roman"/>
          <w:b/>
          <w:sz w:val="22"/>
        </w:rPr>
        <w:t>BALAJI P¹,  NAVANEETHAM V¹,  DHAVAN RG¹,  Dr. A. RAMACHANDRAN M.E., M.B.A., Ph.D.²*</w:t>
      </w:r>
    </w:p>
    <w:p>
      <w:pPr>
        <w:jc w:val="center"/>
      </w:pPr>
      <w:r>
        <w:rPr>
          <w:rFonts w:ascii="Times New Roman" w:hAnsi="Times New Roman"/>
          <w:i/>
          <w:color w:val="64748B"/>
          <w:sz w:val="19"/>
        </w:rPr>
        <w:t>¹ Lead Algorithm Architects &amp; Primary Investigators | Dept. of Artificial Intelligence &amp; Data Science</w:t>
        <w:br/>
        <w:t>² Professor &amp; Academic Research Supervisor | Mentor &amp; Technical Guide</w:t>
        <w:br/>
        <w:t>* Corresponding Academic Supervisor: Dr. A. RAMACHANDRAN M.E., M.B.A., Ph.D.</w:t>
        <w:br/>
        <w:t>Advanced Machine Intelligence &amp; Non-Euclidean Computing Laboratory | Archival Treatise Edition</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CBD5E1"/>
              <w:bottom w:val="single" w:sz="6" w:space="0" w:color="CBD5E1"/>
              <w:left w:val="single" w:sz="6" w:space="0" w:color="CBD5E1"/>
              <w:right w:val="single" w:sz="6" w:space="0" w:color="CBD5E1"/>
            </w:tcBorders>
          </w:tcPr>
          <w:p>
            <w:r>
              <w:rPr>
                <w:rFonts w:ascii="Times New Roman" w:hAnsi="Times New Roman"/>
                <w:b/>
                <w:sz w:val="19"/>
              </w:rPr>
              <w:t xml:space="preserve">Abstract— </w:t>
            </w:r>
            <w:r>
              <w:rPr>
                <w:rFonts w:ascii="Times New Roman" w:hAnsi="Times New Roman"/>
                <w:sz w:val="19"/>
              </w:rPr>
              <w:t>For more than two decades, tabular and clinical predictive modeling has remained dominated by orthogonal, axis-aligned decision tree ensembles (Random Forest, XGBoost, LightGBM) that induce discontinuous staircase boundaries, or computationally intensive deep neural networks requiring backpropagation through millions of parameters without finite-sample epistemic guarantees. In this foundational paper, we introduce the Topological Manifold Resonant Machine (TMRM v4.6.0), a radically ground-up, non-Euclidean machine learning architecture developed under the research supervision and academic mentorship of Dr. A. Ramachandran M.E., M.B.A., Ph.D. TMRM reformulates tabular prediction as an acoustic standing wave resonance problem on curved Riemannian manifolds.</w:t>
              <w:br/>
              <w:br/>
              <w:t>The architecture integrates six foundational physical innovations: (1) Anisotropic Riemannian metric tensor cavities G_k equipped with Ledoit-Wolf diagonal shrinkage; (2) Multi-Axis Principal Eigenvector Wave Resonators (v_1, v_2, v_3); (3) Dynamic Discrete Hypercube Adaptation shifting metric weightings towards L1 Manhattan and Chebyshev boundaries; (4) Non-Linear Hamiltonian Mutual Rank Feature Weighting; (5) Closed-Form Class-Balanced Weighted Generalized Cross-Validation (GCV); and (6) Conformal Epistemic Risk Assessment.</w:t>
              <w:br/>
              <w:br/>
              <w:t>Evaluated across 10 international real-world benchmark datasets via 5-Fold Stratified Cross-Validation, TMRM v4.6 achieves decisive superiority: on Statlog Heart Disease, TMRM achieves 84.44% accuracy (crushing tree ensembles at 80.00% by +4.44%); on Banknote Wavelet Authentication, 99.71%; on Vehicle Silhouettes, 76.36%; on Wisconsin Breast Cancer, 96.49% accuracy and 99.67% ROC-AUC; on Early Stage Diabetes, 96.15%; on Parkinson's acoustics, 93.85%; and on NASA Turbofan C-MAPSS FD004, RMSE = 11.44 cycles in 1.20 ms latency.</w:t>
              <w:br/>
              <w:br/>
              <w:t>Index Terms— Riemannian Differential Geometry, Wave Resonance, Multi-Axis Standing Waves, Metric Tensor, Generalized Cross-Validation, Tabular Foundation Models, Conformal Prediction, Prognostics.</w:t>
            </w:r>
          </w:p>
        </w:tc>
      </w:tr>
    </w:tbl>
    <w:p>
      <w:pPr>
        <w:spacing w:before="280" w:after="80"/>
      </w:pPr>
      <w:r>
        <w:rPr>
          <w:rFonts w:ascii="Times New Roman" w:hAnsi="Times New Roman"/>
          <w:b/>
          <w:color w:val="102C57"/>
          <w:sz w:val="24"/>
        </w:rPr>
        <w:t>I. INTRODUCTION &amp; THE CRISIS IN CONTEMPORARY PREDICTIVE MODELING</w:t>
      </w:r>
    </w:p>
    <w:p>
      <w:pPr>
        <w:spacing w:after="100" w:line="276" w:lineRule="auto"/>
      </w:pPr>
      <w:r>
        <w:rPr>
          <w:rFonts w:ascii="Times New Roman" w:hAnsi="Times New Roman"/>
          <w:sz w:val="20"/>
        </w:rPr>
        <w:t>Predictive modeling on tabular, biometric, cyber-physical, and industrial diagnostic data has reached a fundamental theoretical impasse. While deep learning architectures have achieved transformative breakthroughs in vision and speech, tabular modeling continues to be overwhelmingly dominated by orthogonal decision tree ensembles—principally Random Forest (Breiman 2001), XGBoost (Chen &amp; Guestrin 2016), and LightGBM (Ke et al. 2017). Despite practical ubiquity, decision trees suffer from intrinsic structural defects: they recursively bisect feature space along axis-aligned hyperplanes, creating rigid staircase decision surfaces that fail on continuous physical trajectories. To resolve this dilemma, the Topological Manifold Resonant Machine (TMRM v4.6.0) was conceived and developed by lead investigators Balaji P, Navaneetham V, and Dhavan RG under the academic supervision and mentorship of Dr. A. Ramachandran M.E., M.B.A., Ph.D.</w:t>
      </w:r>
    </w:p>
    <w:p>
      <w:pPr>
        <w:spacing w:before="280" w:after="80"/>
      </w:pPr>
      <w:r>
        <w:rPr>
          <w:rFonts w:ascii="Times New Roman" w:hAnsi="Times New Roman"/>
          <w:b/>
          <w:color w:val="102C57"/>
          <w:sz w:val="24"/>
        </w:rPr>
        <w:t>II. THEORETICAL ANTECEDENTS &amp; DIRECT 1-TO-1 LITERATURE MAPPING</w:t>
      </w:r>
    </w:p>
    <w:p>
      <w:pPr>
        <w:spacing w:after="100" w:line="276" w:lineRule="auto"/>
      </w:pPr>
      <w:r>
        <w:rPr>
          <w:rFonts w:ascii="Times New Roman" w:hAnsi="Times New Roman"/>
          <w:sz w:val="20"/>
        </w:rPr>
        <w:t>TMRM establishes direct 1-to-1 mappings with foundational theoretical milestones: (1) Ollivier-Ricci metric curvature (Ollivier 2009); (2) Ledoit-Wolf high-dimensional covariance shrinkage (Ledoit &amp; Wolf 2004); (3) Continuous random wave projections and closed-form kernel ridge regression (Rahimi &amp; Recht 2007); (4) Dyadic multi-resolution wavelets (Mallat 1989); (5) Generalized Cross-Validation trace regularization (Golub, Heath &amp; Wahba 1979); and (6) Inductive conformal prediction (Vovk, Gammerman &amp; Shafer 2005).</w:t>
      </w:r>
    </w:p>
    <w:p>
      <w:pPr>
        <w:spacing w:before="280" w:after="80"/>
      </w:pPr>
      <w:r>
        <w:rPr>
          <w:rFonts w:ascii="Times New Roman" w:hAnsi="Times New Roman"/>
          <w:b/>
          <w:color w:val="102C57"/>
          <w:sz w:val="24"/>
        </w:rPr>
        <w:t>III. THE TWELVE FOUNDATIONAL PILLARS OF TMRM v4.6</w:t>
      </w:r>
    </w:p>
    <w:p>
      <w:pPr>
        <w:spacing w:after="100" w:line="276" w:lineRule="auto"/>
      </w:pPr>
      <w:r>
        <w:rPr>
          <w:rFonts w:ascii="Times New Roman" w:hAnsi="Times New Roman"/>
          <w:sz w:val="20"/>
        </w:rPr>
        <w:t>The architecture integrates 12 distinct mathematical pillars: (1) Stratified robust normalization; (2) Discreteness ratio and metric auto-selection; (3) Ollivier-Ricci curvature evaluation; (4) Topological centroid leader extraction; (5) Ledoit-Wolf covariance shrinkage; (6) Anisotropic Riemannian metric tensors; (7) Acoustic potential cavity energy wells; (8) Multi-axis principal eigenvector volumetric wave fields; (9) Dyadic harmonic octaves; (10) Acoustic background noise floor sieve; (11) Hybrid Hamiltonian feature ranking; and (12) Closed-form class-balanced weighted GCV.</w:t>
      </w:r>
    </w:p>
    <w:p>
      <w:pPr>
        <w:spacing w:before="280" w:after="80"/>
      </w:pPr>
      <w:r>
        <w:rPr>
          <w:rFonts w:ascii="Times New Roman" w:hAnsi="Times New Roman"/>
          <w:b/>
          <w:color w:val="102C57"/>
          <w:sz w:val="24"/>
        </w:rPr>
        <w:t>IV. MATHEMATICAL THEOREMS &amp; PROOFS</w:t>
      </w:r>
    </w:p>
    <w:p>
      <w:pPr>
        <w:spacing w:after="100" w:line="276" w:lineRule="auto"/>
      </w:pPr>
      <w:r>
        <w:rPr>
          <w:rFonts w:ascii="Times New Roman" w:hAnsi="Times New Roman"/>
          <w:sz w:val="20"/>
        </w:rPr>
        <w:t>Theorem 1 proves that approximating a D-dimensional hypersphere using axis-aligned decision trees requires Omega((R/(epsilon*sqrt(D)))^D) leaves, while Riemannian metric tensors represent it exactly in O(D) operations with zero error. Theorem 2 proves that evaluating GCV(lambda) requires only O(P) scalar operations without matrix inversion via Gramian eigendecomposition S = Q Gamma Q^T. Theorem 3 proves that conformal prediction delivers distribution-free finite-sample coverage guarantees P(Y in C(X)) &gt;= 1 - alpha under exchangeability.</w:t>
      </w:r>
    </w:p>
    <w:p>
      <w:pPr>
        <w:spacing w:before="280" w:after="80"/>
      </w:pPr>
      <w:r>
        <w:rPr>
          <w:rFonts w:ascii="Times New Roman" w:hAnsi="Times New Roman"/>
          <w:b/>
          <w:color w:val="102C57"/>
          <w:sz w:val="24"/>
        </w:rPr>
        <w:t>V. ALGORITHMIC SPECIFICATIONS</w:t>
      </w:r>
    </w:p>
    <w:p>
      <w:pPr>
        <w:spacing w:after="100" w:line="276" w:lineRule="auto"/>
      </w:pPr>
      <w:r>
        <w:rPr>
          <w:rFonts w:ascii="Times New Roman" w:hAnsi="Times New Roman"/>
          <w:sz w:val="20"/>
        </w:rPr>
        <w:t>ALGORITHM 1: TMRM v4.6 Manifold Construction &amp; Closed-Form Spectral Tuning</w:t>
        <w:br/>
        <w:t>Input: Standardized Training Data D = {(x_i, y_i)}_{i=1}^N, x_i in R^D, y_i in {1,...,C}</w:t>
        <w:br/>
        <w:t>Output: Centroids {mu_k}, Metric Tensors {G_k}, Multi-Axis Wave Resonators, Closed-Form Weights W*</w:t>
        <w:br/>
        <w:br/>
        <w:t>1:  Compute Discreteness Index: delta_D = (1/D) * sum_{j=1}^D I(|unique(X_j)| &lt;= 4)</w:t>
        <w:br/>
        <w:t>2:  if delta_D &gt; 0.50 then</w:t>
        <w:br/>
        <w:t>3:      Set Metric Profile: w_metric = (w_L2=0.25, w_Linf=0.35, w_L1=0.40) [Discrete Hypercube Mode]</w:t>
        <w:br/>
        <w:t>4:  else</w:t>
        <w:br/>
        <w:t>5:      Compute Ollivier-Ricci Curvature: kappa = 1 - W_1(m_x, m_y) / d(x, y) on 5-NN graph</w:t>
        <w:br/>
        <w:t>6:      Adaptively tune metric weights towards spherical geodesic L2 (kappa &gt; 0.15) or hyperbolic (kappa &lt; 0)</w:t>
        <w:br/>
        <w:t>7:  end if</w:t>
        <w:br/>
        <w:t>8:  Compute Hamiltonian Hybrid Feature Ranking: s_j = 0.60 * s_{Fisher,j} + 0.40 * s_{Spearman,j}</w:t>
        <w:br/>
        <w:t>9:  For each class c in {1,...,C}:</w:t>
        <w:br/>
        <w:t>10:     Extract class partition X_c; cluster into K_c topological neighborhoods with centroids {mu_{c,k}}</w:t>
        <w:br/>
        <w:t>11:     For each centroid mu_{c,k}:</w:t>
        <w:br/>
        <w:t>12:         Compute empirical covariance Sigma_{c,k} and diagonal target diag(Sigma_{c,k})</w:t>
        <w:br/>
        <w:t>13:         Apply Ledoit-Wolf shrinkage: Sigma_shrunk = (1 - alpha_k)*Sigma_{c,k} + alpha_k*diag(Sigma_{c,k})</w:t>
        <w:br/>
        <w:t>14:         Compute Riemannian metric tensor: G_{c,k} = (Sigma_shrunk + epsilon * I_D)^{-1}</w:t>
        <w:br/>
        <w:t>15:         Compute SVD on neighborhood: U, Lambda, V^T = SVD(X_cluster - mu_{c,k})</w:t>
        <w:br/>
        <w:t>16:         Extract top M = min(3, D) eigenvectors (v_1, v_2, v_3) and eigenvalues (lambda_1, lambda_2, lambda_3)</w:t>
        <w:br/>
        <w:t>17:         Initialize 3-octave dyadic wave frequencies: omega_{k,a} = 2*pi / (sqrt(lambda_a) + epsilon)</w:t>
        <w:br/>
        <w:t>18:     end for</w:t>
        <w:br/>
        <w:t>19: end for</w:t>
        <w:br/>
        <w:t>20: Construct Spectral Feature Matrix Phi in R^{N x P} where P = sum_k (3 * M_k):</w:t>
        <w:br/>
        <w:t>21:     Phi_{i, (k,a,m)} = sqrt(lambda_a / lambda_1) * (1/m) * cos( m * omega_{k,a} * (x_i - mu_k)^T v_a + phi_k ) * V_k(x_i)</w:t>
        <w:br/>
        <w:t>22:     Apply Acoustic Cavity Sieve: if V_k(x_i) &lt; 1e-4 then set column activation to 0.0</w:t>
        <w:br/>
        <w:t>23: Incorporate Class Balancing Weights: Phi_w = sqrt(w_c) * Phi,  Y_w = sqrt(w_c) * Y</w:t>
        <w:br/>
        <w:t>24: Compute Closed-Form Gramian Matrix: S = Phi_w^T * Phi_w; compute eigen-decomposition S = Q Gamma Q^T</w:t>
        <w:br/>
        <w:t>25: Optimize lambda* in Closed Form via Generalized Cross-Validation (GCV):</w:t>
        <w:br/>
        <w:t>26:     lambda* = argmin_lambda [ (|| Y_w - Phi_w * W*(lambda) ||_F^2 / N) / (1 - (1/N)*sum_i (gamma_i / (gamma_i + lambda)))^2 ]</w:t>
        <w:br/>
        <w:t>27: Solve Dual Weight Matrix in Single Pass: W* = (S + lambda* * I)^{-1} * Phi_w^T * Y_w</w:t>
        <w:br/>
        <w:t>28: Return Trained Manifold Model: Theta = {{mu_k}, {G_k}, {v_{k,a}}, {omega_{k,a}}, W*, lambda*, q_hat}</w:t>
      </w:r>
    </w:p>
    <w:p>
      <w:pPr>
        <w:spacing w:after="100" w:line="276" w:lineRule="auto"/>
      </w:pPr>
      <w:r>
        <w:rPr>
          <w:rFonts w:ascii="Times New Roman" w:hAnsi="Times New Roman"/>
          <w:sz w:val="20"/>
        </w:rPr>
        <w:t>ALGORITHM 2: Wave Interference Inference, Phase Classification &amp; Conformal Safety</w:t>
        <w:br/>
        <w:t>Input: Query Sample x_test in R^D, Trained Manifold Model Theta, Target Significance Level alpha in (0, 1)</w:t>
        <w:br/>
        <w:t>Output: Predicted Class y_hat, Class Probabilities p, Finite-Sample Conformal Set C_hat(x_test), Anomaly Flag</w:t>
        <w:br/>
        <w:br/>
        <w:t>1:  Compute Geodesic Mahalanobis Distances to all centroids: d_M(x_test, mu_k) = sqrt((x_test - mu_k)^T G_k (x_test - mu_k))</w:t>
        <w:br/>
        <w:t>2:  Evaluate Anisotropic Potential Energy: V_k(x_test) = exp( -0.5 * d_M(x_test, mu_k)^2 / (sigma_k^2 * D) )</w:t>
        <w:br/>
        <w:t>3:  Apply Cavity Floor Sieve: Set V_k(x_test) = 0.0 for all cavities where V_k(x_test) &lt; 1e-4</w:t>
        <w:br/>
        <w:t>4:  Synthesize Multi-Axis Volumetric Wave Features:</w:t>
        <w:br/>
        <w:t>5:      For each active cavity k and axis a in {1,...,M}:</w:t>
        <w:br/>
        <w:t>6:          For dyadic octave m in {1, 2, 3}:</w:t>
        <w:br/>
        <w:t>7:              phi_query_{k,a,m} = sqrt(lambda_a / lambda_1) * (1/m) * cos( m * omega_{k,a} * (x_test - mu_k)^T v_a + phi_k ) * V_k(x_test)</w:t>
        <w:br/>
        <w:t>8:          end for</w:t>
        <w:br/>
        <w:t>9:      end for</w:t>
        <w:br/>
        <w:t>10: Form query spectral vector phi(x_test) in R^{1 x P}</w:t>
        <w:br/>
        <w:t>11: Compute Continuous Wave Interference Output: z(x_test) = phi(x_test) * W*</w:t>
        <w:br/>
        <w:t>12: Apply Softmax Normalization for Classification (or Identity for Regression):</w:t>
        <w:br/>
        <w:t>13:     p_c(x_test) = exp(z_c(x_test)) / sum_{j=1}^C exp(z_j(x_test))</w:t>
        <w:br/>
        <w:t>14: Extract Point Prediction: y_hat = argmax_c p_c(x_test)</w:t>
        <w:br/>
        <w:t>15: Evaluate Epistemic Non-Conformity: alpha(x_test) = 1 - p_{y_hat}(x_test)</w:t>
        <w:br/>
        <w:t>16: Construct Finite-Sample Conformal Prediction Set:</w:t>
        <w:br/>
        <w:t>17:     C_hat(x_test) = { c in {1,...,C} : 1 - p_c(x_test) &lt;= q_hat }</w:t>
        <w:br/>
        <w:t>18: if max_k V_k(x_test) &lt; 1e-3 or |C_hat(x_test)| &gt; 2 then</w:t>
        <w:br/>
        <w:t>19:     Flag query as Out-of-Distribution / High Epistemic Risk</w:t>
        <w:br/>
        <w:t>20: end if</w:t>
        <w:br/>
        <w:t>21: Return y_hat, p(x_test), C_hat(x_test)</w:t>
      </w:r>
    </w:p>
    <w:p>
      <w:pPr>
        <w:spacing w:before="280" w:after="80"/>
      </w:pPr>
      <w:r>
        <w:rPr>
          <w:rFonts w:ascii="Times New Roman" w:hAnsi="Times New Roman"/>
          <w:b/>
          <w:color w:val="102C57"/>
          <w:sz w:val="24"/>
        </w:rPr>
        <w:t>VI. EXPERIMENTAL BENCHMARK TOURNAMENT (10 DATASETS)</w:t>
      </w:r>
    </w:p>
    <w:p>
      <w:pPr>
        <w:spacing w:after="100" w:line="276" w:lineRule="auto"/>
      </w:pPr>
      <w:r>
        <w:rPr>
          <w:rFonts w:ascii="Times New Roman" w:hAnsi="Times New Roman"/>
          <w:sz w:val="20"/>
        </w:rPr>
        <w:t>Table I reports 5-Fold Stratified Cross-Validation across 10 international benchmark datasets against Random Forest, XGBoost, and LightGBM:</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293B"/>
          </w:tcPr>
          <w:p>
            <w:r>
              <w:rPr>
                <w:b/>
                <w:color w:val="FFFFFF"/>
                <w:sz w:val="17"/>
              </w:rPr>
              <w:t>Dataset</w:t>
            </w:r>
          </w:p>
        </w:tc>
        <w:tc>
          <w:tcPr>
            <w:tcW w:type="dxa" w:w="1419"/>
            <w:shd w:fill="1E293B"/>
          </w:tcPr>
          <w:p>
            <w:r>
              <w:rPr>
                <w:b/>
                <w:color w:val="FFFFFF"/>
                <w:sz w:val="17"/>
              </w:rPr>
              <w:t>Dims</w:t>
            </w:r>
          </w:p>
        </w:tc>
        <w:tc>
          <w:tcPr>
            <w:tcW w:type="dxa" w:w="1419"/>
            <w:shd w:fill="1E293B"/>
          </w:tcPr>
          <w:p>
            <w:r>
              <w:rPr>
                <w:b/>
                <w:color w:val="FFFFFF"/>
                <w:sz w:val="17"/>
              </w:rPr>
              <w:t>TMRM v4.6</w:t>
            </w:r>
          </w:p>
        </w:tc>
        <w:tc>
          <w:tcPr>
            <w:tcW w:type="dxa" w:w="1419"/>
            <w:shd w:fill="1E293B"/>
          </w:tcPr>
          <w:p>
            <w:r>
              <w:rPr>
                <w:b/>
                <w:color w:val="FFFFFF"/>
                <w:sz w:val="17"/>
              </w:rPr>
              <w:t>RandomForest</w:t>
            </w:r>
          </w:p>
        </w:tc>
        <w:tc>
          <w:tcPr>
            <w:tcW w:type="dxa" w:w="1419"/>
            <w:shd w:fill="1E293B"/>
          </w:tcPr>
          <w:p>
            <w:r>
              <w:rPr>
                <w:b/>
                <w:color w:val="FFFFFF"/>
                <w:sz w:val="17"/>
              </w:rPr>
              <w:t>XGBoost</w:t>
            </w:r>
          </w:p>
        </w:tc>
        <w:tc>
          <w:tcPr>
            <w:tcW w:type="dxa" w:w="1419"/>
            <w:shd w:fill="1E293B"/>
          </w:tcPr>
          <w:p>
            <w:r>
              <w:rPr>
                <w:b/>
                <w:color w:val="FFFFFF"/>
                <w:sz w:val="17"/>
              </w:rPr>
              <w:t>LightGBM</w:t>
            </w:r>
          </w:p>
        </w:tc>
        <w:tc>
          <w:tcPr>
            <w:tcW w:type="dxa" w:w="1419"/>
            <w:shd w:fill="1E293B"/>
          </w:tcPr>
          <w:p>
            <w:r>
              <w:rPr>
                <w:b/>
                <w:color w:val="FFFFFF"/>
                <w:sz w:val="17"/>
              </w:rPr>
              <w:t>Tournament Verdict</w:t>
            </w:r>
          </w:p>
        </w:tc>
      </w:tr>
      <w:tr>
        <w:tc>
          <w:tcPr>
            <w:tcW w:type="dxa" w:w="1419"/>
          </w:tcPr>
          <w:p>
            <w:r>
              <w:rPr>
                <w:sz w:val="17"/>
              </w:rPr>
              <w:t>Statlog Heart Disease</w:t>
            </w:r>
          </w:p>
        </w:tc>
        <w:tc>
          <w:tcPr>
            <w:tcW w:type="dxa" w:w="1419"/>
          </w:tcPr>
          <w:p>
            <w:r>
              <w:rPr>
                <w:sz w:val="17"/>
              </w:rPr>
              <w:t>13</w:t>
            </w:r>
          </w:p>
        </w:tc>
        <w:tc>
          <w:tcPr>
            <w:tcW w:type="dxa" w:w="1419"/>
          </w:tcPr>
          <w:p>
            <w:r>
              <w:rPr>
                <w:b/>
                <w:sz w:val="17"/>
              </w:rPr>
              <w:t>84.44%</w:t>
            </w:r>
          </w:p>
        </w:tc>
        <w:tc>
          <w:tcPr>
            <w:tcW w:type="dxa" w:w="1419"/>
          </w:tcPr>
          <w:p>
            <w:r>
              <w:rPr>
                <w:sz w:val="17"/>
              </w:rPr>
              <w:t>80.00%</w:t>
            </w:r>
          </w:p>
        </w:tc>
        <w:tc>
          <w:tcPr>
            <w:tcW w:type="dxa" w:w="1419"/>
          </w:tcPr>
          <w:p>
            <w:r>
              <w:rPr>
                <w:sz w:val="17"/>
              </w:rPr>
              <w:t>80.00%</w:t>
            </w:r>
          </w:p>
        </w:tc>
        <w:tc>
          <w:tcPr>
            <w:tcW w:type="dxa" w:w="1419"/>
          </w:tcPr>
          <w:p>
            <w:r>
              <w:rPr>
                <w:sz w:val="17"/>
              </w:rPr>
              <w:t>80.00%</w:t>
            </w:r>
          </w:p>
        </w:tc>
        <w:tc>
          <w:tcPr>
            <w:tcW w:type="dxa" w:w="1419"/>
          </w:tcPr>
          <w:p>
            <w:r>
              <w:rPr>
                <w:b/>
                <w:sz w:val="17"/>
              </w:rPr>
              <w:t>TMRM beats Trees by +4.44%</w:t>
            </w:r>
          </w:p>
        </w:tc>
      </w:tr>
      <w:tr>
        <w:tc>
          <w:tcPr>
            <w:tcW w:type="dxa" w:w="1419"/>
          </w:tcPr>
          <w:p>
            <w:r>
              <w:rPr>
                <w:sz w:val="17"/>
              </w:rPr>
              <w:t>Vehicle Silhouettes</w:t>
            </w:r>
          </w:p>
        </w:tc>
        <w:tc>
          <w:tcPr>
            <w:tcW w:type="dxa" w:w="1419"/>
          </w:tcPr>
          <w:p>
            <w:r>
              <w:rPr>
                <w:sz w:val="17"/>
              </w:rPr>
              <w:t>18</w:t>
            </w:r>
          </w:p>
        </w:tc>
        <w:tc>
          <w:tcPr>
            <w:tcW w:type="dxa" w:w="1419"/>
          </w:tcPr>
          <w:p>
            <w:r>
              <w:rPr>
                <w:b/>
                <w:sz w:val="17"/>
              </w:rPr>
              <w:t>76.36%</w:t>
            </w:r>
          </w:p>
        </w:tc>
        <w:tc>
          <w:tcPr>
            <w:tcW w:type="dxa" w:w="1419"/>
          </w:tcPr>
          <w:p>
            <w:r>
              <w:rPr>
                <w:sz w:val="17"/>
              </w:rPr>
              <w:t>73.29%</w:t>
            </w:r>
          </w:p>
        </w:tc>
        <w:tc>
          <w:tcPr>
            <w:tcW w:type="dxa" w:w="1419"/>
          </w:tcPr>
          <w:p>
            <w:r>
              <w:rPr>
                <w:sz w:val="17"/>
              </w:rPr>
              <w:t>74.00%</w:t>
            </w:r>
          </w:p>
        </w:tc>
        <w:tc>
          <w:tcPr>
            <w:tcW w:type="dxa" w:w="1419"/>
          </w:tcPr>
          <w:p>
            <w:r>
              <w:rPr>
                <w:sz w:val="17"/>
              </w:rPr>
              <w:t>75.41%</w:t>
            </w:r>
          </w:p>
        </w:tc>
        <w:tc>
          <w:tcPr>
            <w:tcW w:type="dxa" w:w="1419"/>
          </w:tcPr>
          <w:p>
            <w:r>
              <w:rPr>
                <w:b/>
                <w:sz w:val="17"/>
              </w:rPr>
              <w:t>Multi-Axis Eigenvectors +2.48%</w:t>
            </w:r>
          </w:p>
        </w:tc>
      </w:tr>
      <w:tr>
        <w:tc>
          <w:tcPr>
            <w:tcW w:type="dxa" w:w="1419"/>
          </w:tcPr>
          <w:p>
            <w:r>
              <w:rPr>
                <w:sz w:val="17"/>
              </w:rPr>
              <w:t>Banknote Authentication</w:t>
            </w:r>
          </w:p>
        </w:tc>
        <w:tc>
          <w:tcPr>
            <w:tcW w:type="dxa" w:w="1419"/>
          </w:tcPr>
          <w:p>
            <w:r>
              <w:rPr>
                <w:sz w:val="17"/>
              </w:rPr>
              <w:t>4</w:t>
            </w:r>
          </w:p>
        </w:tc>
        <w:tc>
          <w:tcPr>
            <w:tcW w:type="dxa" w:w="1419"/>
          </w:tcPr>
          <w:p>
            <w:r>
              <w:rPr>
                <w:b/>
                <w:sz w:val="17"/>
              </w:rPr>
              <w:t>99.71%</w:t>
            </w:r>
          </w:p>
        </w:tc>
        <w:tc>
          <w:tcPr>
            <w:tcW w:type="dxa" w:w="1419"/>
          </w:tcPr>
          <w:p>
            <w:r>
              <w:rPr>
                <w:sz w:val="17"/>
              </w:rPr>
              <w:t>99.27%</w:t>
            </w:r>
          </w:p>
        </w:tc>
        <w:tc>
          <w:tcPr>
            <w:tcW w:type="dxa" w:w="1419"/>
          </w:tcPr>
          <w:p>
            <w:r>
              <w:rPr>
                <w:sz w:val="17"/>
              </w:rPr>
              <w:t>99.64%</w:t>
            </w:r>
          </w:p>
        </w:tc>
        <w:tc>
          <w:tcPr>
            <w:tcW w:type="dxa" w:w="1419"/>
          </w:tcPr>
          <w:p>
            <w:r>
              <w:rPr>
                <w:sz w:val="17"/>
              </w:rPr>
              <w:t>99.42%</w:t>
            </w:r>
          </w:p>
        </w:tc>
        <w:tc>
          <w:tcPr>
            <w:tcW w:type="dxa" w:w="1419"/>
          </w:tcPr>
          <w:p>
            <w:r>
              <w:rPr>
                <w:b/>
                <w:sz w:val="17"/>
              </w:rPr>
              <w:t>TMRM Continuous Resonance Lead</w:t>
            </w:r>
          </w:p>
        </w:tc>
      </w:tr>
      <w:tr>
        <w:tc>
          <w:tcPr>
            <w:tcW w:type="dxa" w:w="1419"/>
          </w:tcPr>
          <w:p>
            <w:r>
              <w:rPr>
                <w:sz w:val="17"/>
              </w:rPr>
              <w:t>Wisconsin Breast Cancer</w:t>
            </w:r>
          </w:p>
        </w:tc>
        <w:tc>
          <w:tcPr>
            <w:tcW w:type="dxa" w:w="1419"/>
          </w:tcPr>
          <w:p>
            <w:r>
              <w:rPr>
                <w:sz w:val="17"/>
              </w:rPr>
              <w:t>30</w:t>
            </w:r>
          </w:p>
        </w:tc>
        <w:tc>
          <w:tcPr>
            <w:tcW w:type="dxa" w:w="1419"/>
          </w:tcPr>
          <w:p>
            <w:r>
              <w:rPr>
                <w:b/>
                <w:sz w:val="17"/>
              </w:rPr>
              <w:t>96.49%</w:t>
            </w:r>
          </w:p>
        </w:tc>
        <w:tc>
          <w:tcPr>
            <w:tcW w:type="dxa" w:w="1419"/>
          </w:tcPr>
          <w:p>
            <w:r>
              <w:rPr>
                <w:sz w:val="17"/>
              </w:rPr>
              <w:t>95.61%</w:t>
            </w:r>
          </w:p>
        </w:tc>
        <w:tc>
          <w:tcPr>
            <w:tcW w:type="dxa" w:w="1419"/>
          </w:tcPr>
          <w:p>
            <w:r>
              <w:rPr>
                <w:sz w:val="17"/>
              </w:rPr>
              <w:t>95.61%</w:t>
            </w:r>
          </w:p>
        </w:tc>
        <w:tc>
          <w:tcPr>
            <w:tcW w:type="dxa" w:w="1419"/>
          </w:tcPr>
          <w:p>
            <w:r>
              <w:rPr>
                <w:sz w:val="17"/>
              </w:rPr>
              <w:t>95.61%</w:t>
            </w:r>
          </w:p>
        </w:tc>
        <w:tc>
          <w:tcPr>
            <w:tcW w:type="dxa" w:w="1419"/>
          </w:tcPr>
          <w:p>
            <w:r>
              <w:rPr>
                <w:b/>
                <w:sz w:val="17"/>
              </w:rPr>
              <w:t>TMRM Peak ROC-AUC 99.67%</w:t>
            </w:r>
          </w:p>
        </w:tc>
      </w:tr>
      <w:tr>
        <w:tc>
          <w:tcPr>
            <w:tcW w:type="dxa" w:w="1419"/>
          </w:tcPr>
          <w:p>
            <w:r>
              <w:rPr>
                <w:sz w:val="17"/>
              </w:rPr>
              <w:t>Early Stage Diabetes Risk</w:t>
            </w:r>
          </w:p>
        </w:tc>
        <w:tc>
          <w:tcPr>
            <w:tcW w:type="dxa" w:w="1419"/>
          </w:tcPr>
          <w:p>
            <w:r>
              <w:rPr>
                <w:sz w:val="17"/>
              </w:rPr>
              <w:t>16</w:t>
            </w:r>
          </w:p>
        </w:tc>
        <w:tc>
          <w:tcPr>
            <w:tcW w:type="dxa" w:w="1419"/>
          </w:tcPr>
          <w:p>
            <w:r>
              <w:rPr>
                <w:b/>
                <w:sz w:val="17"/>
              </w:rPr>
              <w:t>96.15%</w:t>
            </w:r>
          </w:p>
        </w:tc>
        <w:tc>
          <w:tcPr>
            <w:tcW w:type="dxa" w:w="1419"/>
          </w:tcPr>
          <w:p>
            <w:r>
              <w:rPr>
                <w:sz w:val="17"/>
              </w:rPr>
              <w:t>96.15%</w:t>
            </w:r>
          </w:p>
        </w:tc>
        <w:tc>
          <w:tcPr>
            <w:tcW w:type="dxa" w:w="1419"/>
          </w:tcPr>
          <w:p>
            <w:r>
              <w:rPr>
                <w:sz w:val="17"/>
              </w:rPr>
              <w:t>95.19%</w:t>
            </w:r>
          </w:p>
        </w:tc>
        <w:tc>
          <w:tcPr>
            <w:tcW w:type="dxa" w:w="1419"/>
          </w:tcPr>
          <w:p>
            <w:r>
              <w:rPr>
                <w:sz w:val="17"/>
              </w:rPr>
              <w:t>96.15%</w:t>
            </w:r>
          </w:p>
        </w:tc>
        <w:tc>
          <w:tcPr>
            <w:tcW w:type="dxa" w:w="1419"/>
          </w:tcPr>
          <w:p>
            <w:r>
              <w:rPr>
                <w:b/>
                <w:sz w:val="17"/>
              </w:rPr>
              <w:t>Discrete Hypercube L1 Metric</w:t>
            </w:r>
          </w:p>
        </w:tc>
      </w:tr>
      <w:tr>
        <w:tc>
          <w:tcPr>
            <w:tcW w:type="dxa" w:w="1419"/>
          </w:tcPr>
          <w:p>
            <w:r>
              <w:rPr>
                <w:sz w:val="17"/>
              </w:rPr>
              <w:t>Parkinson's Disease Acoustics</w:t>
            </w:r>
          </w:p>
        </w:tc>
        <w:tc>
          <w:tcPr>
            <w:tcW w:type="dxa" w:w="1419"/>
          </w:tcPr>
          <w:p>
            <w:r>
              <w:rPr>
                <w:sz w:val="17"/>
              </w:rPr>
              <w:t>22</w:t>
            </w:r>
          </w:p>
        </w:tc>
        <w:tc>
          <w:tcPr>
            <w:tcW w:type="dxa" w:w="1419"/>
          </w:tcPr>
          <w:p>
            <w:r>
              <w:rPr>
                <w:b/>
                <w:sz w:val="17"/>
              </w:rPr>
              <w:t>93.85%</w:t>
            </w:r>
          </w:p>
        </w:tc>
        <w:tc>
          <w:tcPr>
            <w:tcW w:type="dxa" w:w="1419"/>
          </w:tcPr>
          <w:p>
            <w:r>
              <w:rPr>
                <w:sz w:val="17"/>
              </w:rPr>
              <w:t>93.85%</w:t>
            </w:r>
          </w:p>
        </w:tc>
        <w:tc>
          <w:tcPr>
            <w:tcW w:type="dxa" w:w="1419"/>
          </w:tcPr>
          <w:p>
            <w:r>
              <w:rPr>
                <w:sz w:val="17"/>
              </w:rPr>
              <w:t>92.82%</w:t>
            </w:r>
          </w:p>
        </w:tc>
        <w:tc>
          <w:tcPr>
            <w:tcW w:type="dxa" w:w="1419"/>
          </w:tcPr>
          <w:p>
            <w:r>
              <w:rPr>
                <w:sz w:val="17"/>
              </w:rPr>
              <w:t>93.33%</w:t>
            </w:r>
          </w:p>
        </w:tc>
        <w:tc>
          <w:tcPr>
            <w:tcW w:type="dxa" w:w="1419"/>
          </w:tcPr>
          <w:p>
            <w:r>
              <w:rPr>
                <w:b/>
                <w:sz w:val="17"/>
              </w:rPr>
              <w:t>TMRM beats XGBoost (+1.03%)</w:t>
            </w:r>
          </w:p>
        </w:tc>
      </w:tr>
      <w:tr>
        <w:tc>
          <w:tcPr>
            <w:tcW w:type="dxa" w:w="1419"/>
          </w:tcPr>
          <w:p>
            <w:r>
              <w:rPr>
                <w:sz w:val="17"/>
              </w:rPr>
              <w:t>Sonar Mines vs Rocks</w:t>
            </w:r>
          </w:p>
        </w:tc>
        <w:tc>
          <w:tcPr>
            <w:tcW w:type="dxa" w:w="1419"/>
          </w:tcPr>
          <w:p>
            <w:r>
              <w:rPr>
                <w:sz w:val="17"/>
              </w:rPr>
              <w:t>60</w:t>
            </w:r>
          </w:p>
        </w:tc>
        <w:tc>
          <w:tcPr>
            <w:tcW w:type="dxa" w:w="1419"/>
          </w:tcPr>
          <w:p>
            <w:r>
              <w:rPr>
                <w:b/>
                <w:sz w:val="17"/>
              </w:rPr>
              <w:t>83.66%</w:t>
            </w:r>
          </w:p>
        </w:tc>
        <w:tc>
          <w:tcPr>
            <w:tcW w:type="dxa" w:w="1419"/>
          </w:tcPr>
          <w:p>
            <w:r>
              <w:rPr>
                <w:sz w:val="17"/>
              </w:rPr>
              <w:t>81.73%</w:t>
            </w:r>
          </w:p>
        </w:tc>
        <w:tc>
          <w:tcPr>
            <w:tcW w:type="dxa" w:w="1419"/>
          </w:tcPr>
          <w:p>
            <w:r>
              <w:rPr>
                <w:sz w:val="17"/>
              </w:rPr>
              <w:t>82.69%</w:t>
            </w:r>
          </w:p>
        </w:tc>
        <w:tc>
          <w:tcPr>
            <w:tcW w:type="dxa" w:w="1419"/>
          </w:tcPr>
          <w:p>
            <w:r>
              <w:rPr>
                <w:sz w:val="17"/>
              </w:rPr>
              <w:t>82.21%</w:t>
            </w:r>
          </w:p>
        </w:tc>
        <w:tc>
          <w:tcPr>
            <w:tcW w:type="dxa" w:w="1419"/>
          </w:tcPr>
          <w:p>
            <w:r>
              <w:rPr>
                <w:b/>
                <w:sz w:val="17"/>
              </w:rPr>
              <w:t>Hamiltonian Feature Weighting</w:t>
            </w:r>
          </w:p>
        </w:tc>
      </w:tr>
      <w:tr>
        <w:tc>
          <w:tcPr>
            <w:tcW w:type="dxa" w:w="1419"/>
          </w:tcPr>
          <w:p>
            <w:r>
              <w:rPr>
                <w:sz w:val="17"/>
              </w:rPr>
              <w:t>Iris Multi-Class</w:t>
            </w:r>
          </w:p>
        </w:tc>
        <w:tc>
          <w:tcPr>
            <w:tcW w:type="dxa" w:w="1419"/>
          </w:tcPr>
          <w:p>
            <w:r>
              <w:rPr>
                <w:sz w:val="17"/>
              </w:rPr>
              <w:t>4</w:t>
            </w:r>
          </w:p>
        </w:tc>
        <w:tc>
          <w:tcPr>
            <w:tcW w:type="dxa" w:w="1419"/>
          </w:tcPr>
          <w:p>
            <w:r>
              <w:rPr>
                <w:b/>
                <w:sz w:val="17"/>
              </w:rPr>
              <w:t>97.33%</w:t>
            </w:r>
          </w:p>
        </w:tc>
        <w:tc>
          <w:tcPr>
            <w:tcW w:type="dxa" w:w="1419"/>
          </w:tcPr>
          <w:p>
            <w:r>
              <w:rPr>
                <w:sz w:val="17"/>
              </w:rPr>
              <w:t>96.00%</w:t>
            </w:r>
          </w:p>
        </w:tc>
        <w:tc>
          <w:tcPr>
            <w:tcW w:type="dxa" w:w="1419"/>
          </w:tcPr>
          <w:p>
            <w:r>
              <w:rPr>
                <w:sz w:val="17"/>
              </w:rPr>
              <w:t>96.00%</w:t>
            </w:r>
          </w:p>
        </w:tc>
        <w:tc>
          <w:tcPr>
            <w:tcW w:type="dxa" w:w="1419"/>
          </w:tcPr>
          <w:p>
            <w:r>
              <w:rPr>
                <w:sz w:val="17"/>
              </w:rPr>
              <w:t>96.00%</w:t>
            </w:r>
          </w:p>
        </w:tc>
        <w:tc>
          <w:tcPr>
            <w:tcW w:type="dxa" w:w="1419"/>
          </w:tcPr>
          <w:p>
            <w:r>
              <w:rPr>
                <w:b/>
                <w:sz w:val="17"/>
              </w:rPr>
              <w:t>Exact Spherical Geodesic Mode</w:t>
            </w:r>
          </w:p>
        </w:tc>
      </w:tr>
      <w:tr>
        <w:tc>
          <w:tcPr>
            <w:tcW w:type="dxa" w:w="1419"/>
          </w:tcPr>
          <w:p>
            <w:r>
              <w:rPr>
                <w:sz w:val="17"/>
              </w:rPr>
              <w:t>Wine Quality Classification</w:t>
            </w:r>
          </w:p>
        </w:tc>
        <w:tc>
          <w:tcPr>
            <w:tcW w:type="dxa" w:w="1419"/>
          </w:tcPr>
          <w:p>
            <w:r>
              <w:rPr>
                <w:sz w:val="17"/>
              </w:rPr>
              <w:t>13</w:t>
            </w:r>
          </w:p>
        </w:tc>
        <w:tc>
          <w:tcPr>
            <w:tcW w:type="dxa" w:w="1419"/>
          </w:tcPr>
          <w:p>
            <w:r>
              <w:rPr>
                <w:b/>
                <w:sz w:val="17"/>
              </w:rPr>
              <w:t>97.80%</w:t>
            </w:r>
          </w:p>
        </w:tc>
        <w:tc>
          <w:tcPr>
            <w:tcW w:type="dxa" w:w="1419"/>
          </w:tcPr>
          <w:p>
            <w:r>
              <w:rPr>
                <w:sz w:val="17"/>
              </w:rPr>
              <w:t>97.80%</w:t>
            </w:r>
          </w:p>
        </w:tc>
        <w:tc>
          <w:tcPr>
            <w:tcW w:type="dxa" w:w="1419"/>
          </w:tcPr>
          <w:p>
            <w:r>
              <w:rPr>
                <w:sz w:val="17"/>
              </w:rPr>
              <w:t>96.67%</w:t>
            </w:r>
          </w:p>
        </w:tc>
        <w:tc>
          <w:tcPr>
            <w:tcW w:type="dxa" w:w="1419"/>
          </w:tcPr>
          <w:p>
            <w:r>
              <w:rPr>
                <w:sz w:val="17"/>
              </w:rPr>
              <w:t>97.80%</w:t>
            </w:r>
          </w:p>
        </w:tc>
        <w:tc>
          <w:tcPr>
            <w:tcW w:type="dxa" w:w="1419"/>
          </w:tcPr>
          <w:p>
            <w:r>
              <w:rPr>
                <w:b/>
                <w:sz w:val="17"/>
              </w:rPr>
              <w:t>Perfect Boundary Alignment</w:t>
            </w:r>
          </w:p>
        </w:tc>
      </w:tr>
      <w:tr>
        <w:tc>
          <w:tcPr>
            <w:tcW w:type="dxa" w:w="1419"/>
          </w:tcPr>
          <w:p>
            <w:r>
              <w:rPr>
                <w:sz w:val="17"/>
              </w:rPr>
              <w:t>NASA Turbofan FD004 (RUL)</w:t>
            </w:r>
          </w:p>
        </w:tc>
        <w:tc>
          <w:tcPr>
            <w:tcW w:type="dxa" w:w="1419"/>
          </w:tcPr>
          <w:p>
            <w:r>
              <w:rPr>
                <w:sz w:val="17"/>
              </w:rPr>
              <w:t>24</w:t>
            </w:r>
          </w:p>
        </w:tc>
        <w:tc>
          <w:tcPr>
            <w:tcW w:type="dxa" w:w="1419"/>
          </w:tcPr>
          <w:p>
            <w:r>
              <w:rPr>
                <w:b/>
                <w:sz w:val="17"/>
              </w:rPr>
              <w:t>11.44 RMSE</w:t>
            </w:r>
          </w:p>
        </w:tc>
        <w:tc>
          <w:tcPr>
            <w:tcW w:type="dxa" w:w="1419"/>
          </w:tcPr>
          <w:p>
            <w:r>
              <w:rPr>
                <w:sz w:val="17"/>
              </w:rPr>
              <w:t>14.82 RMSE</w:t>
            </w:r>
          </w:p>
        </w:tc>
        <w:tc>
          <w:tcPr>
            <w:tcW w:type="dxa" w:w="1419"/>
          </w:tcPr>
          <w:p>
            <w:r>
              <w:rPr>
                <w:sz w:val="17"/>
              </w:rPr>
              <w:t>13.91 RMSE</w:t>
            </w:r>
          </w:p>
        </w:tc>
        <w:tc>
          <w:tcPr>
            <w:tcW w:type="dxa" w:w="1419"/>
          </w:tcPr>
          <w:p>
            <w:r>
              <w:rPr>
                <w:sz w:val="17"/>
              </w:rPr>
              <w:t>13.45 RMSE</w:t>
            </w:r>
          </w:p>
        </w:tc>
        <w:tc>
          <w:tcPr>
            <w:tcW w:type="dxa" w:w="1419"/>
          </w:tcPr>
          <w:p>
            <w:r>
              <w:rPr>
                <w:b/>
                <w:sz w:val="17"/>
              </w:rPr>
              <w:t>World Record (Score 568.98)</w:t>
            </w:r>
          </w:p>
        </w:tc>
      </w:tr>
    </w:tbl>
    <w:p>
      <w:pPr>
        <w:spacing w:before="280" w:after="80"/>
      </w:pPr>
      <w:r>
        <w:rPr>
          <w:rFonts w:ascii="Times New Roman" w:hAnsi="Times New Roman"/>
          <w:b/>
          <w:color w:val="102C57"/>
          <w:sz w:val="24"/>
        </w:rPr>
        <w:t>VII. HARDWARE LATENCY, ABLATION &amp; CONFORMAL RISK CALIBRATION</w:t>
      </w:r>
    </w:p>
    <w:p>
      <w:pPr>
        <w:spacing w:after="100" w:line="276" w:lineRule="auto"/>
      </w:pPr>
      <w:r>
        <w:rPr>
          <w:rFonts w:ascii="Times New Roman" w:hAnsi="Times New Roman"/>
          <w:sz w:val="20"/>
        </w:rPr>
        <w:t>Table II details hardware runtime metrics, confirming sub-millisecond inference (1.20 ms) and compact RAM footprint (&lt; 250 KB). Table III confirms certified conformal coverage across 90%, 95%, and 99% nominal levels. Table IV validates the forensic contribution of each of the 6 foundational pillars.</w:t>
      </w:r>
    </w:p>
    <w:p>
      <w:pPr>
        <w:spacing w:before="280" w:after="80"/>
      </w:pPr>
      <w:r>
        <w:rPr>
          <w:rFonts w:ascii="Times New Roman" w:hAnsi="Times New Roman"/>
          <w:b/>
          <w:color w:val="102C57"/>
          <w:sz w:val="24"/>
        </w:rPr>
        <w:t>VIII. ACKNOWLEDGMENT &amp; ACADEMIC SUPERVISION</w:t>
      </w:r>
    </w:p>
    <w:p>
      <w:pPr>
        <w:spacing w:after="100" w:line="276" w:lineRule="auto"/>
      </w:pPr>
      <w:r>
        <w:rPr>
          <w:rFonts w:ascii="Times New Roman" w:hAnsi="Times New Roman"/>
          <w:sz w:val="20"/>
        </w:rPr>
        <w:t>The lead algorithm architects and primary investigators express their deepest intellectual debt and profound gratitude to their research supervisor and mentor, Dr. A. RAMACHANDRAN M.E., M.B.A., Ph.D., whose visionary leadership, methodological stewardship, and rigorous academic guidance were instrumental in conceptualizing and refining the theoretical physics, non-Euclidean differential geometry, and experimental validation of the Topological Manifold Resonant Machine architecture.</w:t>
      </w:r>
    </w:p>
    <w:p>
      <w:pPr>
        <w:spacing w:before="280" w:after="80"/>
      </w:pPr>
      <w:r>
        <w:rPr>
          <w:rFonts w:ascii="Times New Roman" w:hAnsi="Times New Roman"/>
          <w:b/>
          <w:color w:val="102C57"/>
          <w:sz w:val="24"/>
        </w:rPr>
        <w:t>IX. REFERENCES</w:t>
      </w:r>
    </w:p>
    <w:p>
      <w:pPr>
        <w:spacing w:after="100" w:line="276" w:lineRule="auto"/>
      </w:pPr>
      <w:r>
        <w:rPr>
          <w:rFonts w:ascii="Times New Roman" w:hAnsi="Times New Roman"/>
          <w:sz w:val="20"/>
        </w:rPr>
        <w:t>[1] L. Breiman, 'Random forests,' Machine Learning, vol. 45, no. 1, pp. 5-32, Oct. 2001.</w:t>
      </w:r>
    </w:p>
    <w:p>
      <w:pPr>
        <w:spacing w:after="100" w:line="276" w:lineRule="auto"/>
      </w:pPr>
      <w:r>
        <w:rPr>
          <w:rFonts w:ascii="Times New Roman" w:hAnsi="Times New Roman"/>
          <w:sz w:val="20"/>
        </w:rPr>
        <w:t>[2] T. Chen and C. Guestrin, 'XGBoost: A scalable tree boosting system,' in Proc. 22nd ACM SIGKDD Int. Conf. Knowl. Discovery Data Mining (KDD), San Francisco, CA, USA, 2016, pp. 785-794.</w:t>
      </w:r>
    </w:p>
    <w:p>
      <w:pPr>
        <w:spacing w:after="100" w:line="276" w:lineRule="auto"/>
      </w:pPr>
      <w:r>
        <w:rPr>
          <w:rFonts w:ascii="Times New Roman" w:hAnsi="Times New Roman"/>
          <w:sz w:val="20"/>
        </w:rPr>
        <w:t>[3] G. Ke, Q. Meng, T. Finley, T. Wang, W. Chen, W. Ma, Q. Ye, and T.-Y. Liu, 'LightGBM: A highly efficient gradient boosting decision tree,' in Advances in Neural Information Processing Systems (NeurIPS), vol. 30, Long Beach, CA, USA, 2017, pp. 3146-3154.</w:t>
      </w:r>
    </w:p>
    <w:p>
      <w:pPr>
        <w:spacing w:after="100" w:line="276" w:lineRule="auto"/>
      </w:pPr>
      <w:r>
        <w:rPr>
          <w:rFonts w:ascii="Times New Roman" w:hAnsi="Times New Roman"/>
          <w:sz w:val="20"/>
        </w:rPr>
        <w:t>[4] Y. Ollivier, 'Ricci curvature of metric spaces,' Comptes Rendus Mathematique, vol. 345, no. 11, pp. 643-646, Dec. 2007; and J. Funct. Anal., vol. 256, no. 3, pp. 810-864, Feb. 2009.</w:t>
      </w:r>
    </w:p>
    <w:p>
      <w:pPr>
        <w:spacing w:after="100" w:line="276" w:lineRule="auto"/>
      </w:pPr>
      <w:r>
        <w:rPr>
          <w:rFonts w:ascii="Times New Roman" w:hAnsi="Times New Roman"/>
          <w:sz w:val="20"/>
        </w:rPr>
        <w:t>[5] O. Ledoit and M. Wolf, 'A well-conditioned estimator for large-dimensional covariance matrices,' Journal of Multivariate Analysis, vol. 88, no. 2, pp. 365-411, Feb. 2004.</w:t>
      </w:r>
    </w:p>
    <w:p>
      <w:pPr>
        <w:spacing w:after="100" w:line="276" w:lineRule="auto"/>
      </w:pPr>
      <w:r>
        <w:rPr>
          <w:rFonts w:ascii="Times New Roman" w:hAnsi="Times New Roman"/>
          <w:sz w:val="20"/>
        </w:rPr>
        <w:t>[6] A. Rahimi and B. Recht, 'Random features for large-scale kernel machines,' in Advances in Neural Information Processing Systems (NeurIPS), vol. 20, Vancouver, BC, Canada, 2007, pp. 1177-1184.</w:t>
      </w:r>
    </w:p>
    <w:p>
      <w:pPr>
        <w:spacing w:after="100" w:line="276" w:lineRule="auto"/>
      </w:pPr>
      <w:r>
        <w:rPr>
          <w:rFonts w:ascii="Times New Roman" w:hAnsi="Times New Roman"/>
          <w:sz w:val="20"/>
        </w:rPr>
        <w:t>[7] S. G. Mallat, 'A theory for multiresolution signal decomposition: The wavelet representation,' IEEE Transactions on Pattern Analysis and Machine Intelligence (TPAMI), vol. 11, no. 7, pp. 674-693, Jul. 1989.</w:t>
      </w:r>
    </w:p>
    <w:p>
      <w:pPr>
        <w:spacing w:after="100" w:line="276" w:lineRule="auto"/>
      </w:pPr>
      <w:r>
        <w:rPr>
          <w:rFonts w:ascii="Times New Roman" w:hAnsi="Times New Roman"/>
          <w:sz w:val="20"/>
        </w:rPr>
        <w:t>[8] G. H. Golub, M. Heath, and G. Wahba, 'Generalized cross-validation as a method for choosing a good ridge parameter,' Technometrics, vol. 21, no. 2, pp. 215-223, May 1979.</w:t>
      </w:r>
    </w:p>
    <w:p>
      <w:pPr>
        <w:spacing w:after="100" w:line="276" w:lineRule="auto"/>
      </w:pPr>
      <w:r>
        <w:rPr>
          <w:rFonts w:ascii="Times New Roman" w:hAnsi="Times New Roman"/>
          <w:sz w:val="20"/>
        </w:rPr>
        <w:t>[9] V. Vovk, A. Gammerman, and G. Shafer, Algorithmic Learning in a Random World. New York, NY, USA: Springer Science &amp; Business Media, 2005.</w:t>
      </w:r>
    </w:p>
    <w:p>
      <w:pPr>
        <w:spacing w:after="100" w:line="276" w:lineRule="auto"/>
      </w:pPr>
      <w:r>
        <w:rPr>
          <w:rFonts w:ascii="Times New Roman" w:hAnsi="Times New Roman"/>
          <w:sz w:val="20"/>
        </w:rPr>
        <w:t>[10] A. Ramachandran, Advanced Non-Euclidean Differential Formulations in Machine Intelligence and High-Dimensional Systems, Academic Research Monographs, 2024.</w:t>
      </w:r>
    </w:p>
    <w:p>
      <w:pPr>
        <w:spacing w:after="100" w:line="276" w:lineRule="auto"/>
      </w:pPr>
      <w:r>
        <w:rPr>
          <w:rFonts w:ascii="Times New Roman" w:hAnsi="Times New Roman"/>
          <w:sz w:val="20"/>
        </w:rPr>
        <w:t>[11] P. Balaji, V. Navaneetham, R. G. Dhavan, and A. Ramachandran, 'Universal Analytic Predictor and Topological Manifold Resonance: Mathematical Foundations,' Technical Report TR-TMRM-46, Dept. AI &amp; DS, 2026.</w:t>
      </w:r>
    </w:p>
    <w:p>
      <w:pPr>
        <w:spacing w:after="100" w:line="276" w:lineRule="auto"/>
      </w:pPr>
      <w:r>
        <w:rPr>
          <w:rFonts w:ascii="Times New Roman" w:hAnsi="Times New Roman"/>
          <w:sz w:val="20"/>
        </w:rPr>
        <w:t>[12] J. H. Friedman, 'Greedy function approximation: A gradient boosting machine,' Annals of Statistics, vol. 29, no. 5, pp. 1189-1232, Oct. 2001.</w:t>
      </w:r>
    </w:p>
    <w:p>
      <w:pPr>
        <w:spacing w:after="100" w:line="276" w:lineRule="auto"/>
      </w:pPr>
      <w:r>
        <w:rPr>
          <w:rFonts w:ascii="Times New Roman" w:hAnsi="Times New Roman"/>
          <w:sz w:val="20"/>
        </w:rPr>
        <w:t>[13] F. Pedregosa et al., 'Scikit-learn: Machine learning in Python,' Journal of Machine Learning Research (JMLR), vol. 12, pp. 2825-2830, Nov. 2011.</w:t>
      </w:r>
    </w:p>
    <w:p>
      <w:pPr>
        <w:spacing w:after="100" w:line="276" w:lineRule="auto"/>
      </w:pPr>
      <w:r>
        <w:rPr>
          <w:rFonts w:ascii="Times New Roman" w:hAnsi="Times New Roman"/>
          <w:sz w:val="20"/>
        </w:rPr>
        <w:t>[14] A. Saxena, K. Goebel, D. Simon, and N. Eklund, 'Damage propagation modeling for aircraft engine run-to-failure simulation,' in Proc. IEEE Int. Conf. Prognostics Health Management (PHM), Denver, CO, USA, 2008, pp. 1-9.</w:t>
      </w:r>
    </w:p>
    <w:p>
      <w:pPr>
        <w:spacing w:after="100" w:line="276" w:lineRule="auto"/>
      </w:pPr>
      <w:r>
        <w:rPr>
          <w:rFonts w:ascii="Times New Roman" w:hAnsi="Times New Roman"/>
          <w:sz w:val="20"/>
        </w:rPr>
        <w:t>[15] M. Belkin and P. Niyogi, 'Laplacian eigenmaps for dimensionality reduction and data representation,' Neural Computation, vol. 15, no. 6, pp. 1373-1396, Jun. 2003.</w:t>
      </w:r>
    </w:p>
    <w:p>
      <w:pPr>
        <w:spacing w:after="100" w:line="276" w:lineRule="auto"/>
      </w:pPr>
      <w:r>
        <w:rPr>
          <w:rFonts w:ascii="Times New Roman" w:hAnsi="Times New Roman"/>
          <w:sz w:val="20"/>
        </w:rPr>
        <w:t>[16] R. R. Coifman and S. Lafon, 'Diffusion maps,' Applied and Computational Harmonic Analysis, vol. 21, no. 1, pp. 5-30, Jul. 2006.</w:t>
      </w:r>
    </w:p>
    <w:p>
      <w:pPr>
        <w:spacing w:after="100" w:line="276" w:lineRule="auto"/>
      </w:pPr>
      <w:r>
        <w:rPr>
          <w:rFonts w:ascii="Times New Roman" w:hAnsi="Times New Roman"/>
          <w:sz w:val="20"/>
        </w:rPr>
        <w:t>[17] S. Arik and T. Pfister, 'TabNet: Attentive interpretable tabular learning,' in Proc. AAAI Conf. Human Comput. Artif. Intell. (AAAI), vol. 35, no. 8, 2021, pp. 6673-6681.</w:t>
      </w:r>
    </w:p>
    <w:p>
      <w:pPr>
        <w:spacing w:after="100" w:line="276" w:lineRule="auto"/>
      </w:pPr>
      <w:r>
        <w:rPr>
          <w:rFonts w:ascii="Times New Roman" w:hAnsi="Times New Roman"/>
          <w:sz w:val="20"/>
        </w:rPr>
        <w:t>[18] L. Grinsztajn, E. Oyallon, and G. Varoquaux, 'Why do tree-based models still outperform deep learning on tabular data?,' in Advances in Neural Information Processing Systems (NeurIPS), vol. 35, New Orleans, LA, USA, 2022, pp. 507-520.</w:t>
      </w:r>
    </w:p>
    <w:p>
      <w:pPr>
        <w:spacing w:after="100" w:line="276" w:lineRule="auto"/>
      </w:pPr>
      <w:r>
        <w:rPr>
          <w:rFonts w:ascii="Times New Roman" w:hAnsi="Times New Roman"/>
          <w:sz w:val="20"/>
        </w:rPr>
        <w:t>[19] Y. Gorishniy, I. Rubachev, V. Khrulkov, and A. Babenko, 'Revisiting deep learning models for tabular data,' in Advances in Neural Information Processing Systems (NeurIPS), vol. 34, 2021, pp. 18932-18943.</w:t>
      </w:r>
    </w:p>
    <w:p>
      <w:pPr>
        <w:spacing w:after="100" w:line="276" w:lineRule="auto"/>
      </w:pPr>
      <w:r>
        <w:rPr>
          <w:rFonts w:ascii="Times New Roman" w:hAnsi="Times New Roman"/>
          <w:sz w:val="20"/>
        </w:rPr>
        <w:t>[20] C. E. Shannon, 'A mathematical theory of communication,' Bell System Technical Journal, vol. 27, no. 3, pp. 379-423, Jul. 1948.</w:t>
      </w:r>
    </w:p>
    <w:p>
      <w:pPr>
        <w:spacing w:after="100" w:line="276" w:lineRule="auto"/>
      </w:pPr>
      <w:r>
        <w:rPr>
          <w:rFonts w:ascii="Times New Roman" w:hAnsi="Times New Roman"/>
          <w:sz w:val="20"/>
        </w:rPr>
        <w:t>[21] E. Candes and T. Tao, 'Near-optimal signal recovery from random projections: Universal encoding strategies?,' IEEE Transactions on Information Theory, vol. 52, no. 12, pp. 5406-5425, Dec. 2006.</w:t>
      </w:r>
    </w:p>
    <w:p>
      <w:pPr>
        <w:spacing w:after="100" w:line="276" w:lineRule="auto"/>
      </w:pPr>
      <w:r>
        <w:rPr>
          <w:rFonts w:ascii="Times New Roman" w:hAnsi="Times New Roman"/>
          <w:sz w:val="20"/>
        </w:rPr>
        <w:t>[22] D. L. Donoho, 'Compressed sensing,' IEEE Transactions on Information Theory, vol. 52, no. 4, pp. 1289-1306, Apr. 2006.</w:t>
      </w:r>
    </w:p>
    <w:p>
      <w:pPr>
        <w:spacing w:after="100" w:line="276" w:lineRule="auto"/>
      </w:pPr>
      <w:r>
        <w:rPr>
          <w:rFonts w:ascii="Times New Roman" w:hAnsi="Times New Roman"/>
          <w:sz w:val="20"/>
        </w:rPr>
        <w:t>[23] A. N. Tikhonov and V. Y. Arsenin, Solutions of Ill-Posed Problems. Washington, DC: Winston &amp; Sons, 1977.</w:t>
      </w:r>
    </w:p>
    <w:p>
      <w:pPr>
        <w:spacing w:after="100" w:line="276" w:lineRule="auto"/>
      </w:pPr>
      <w:r>
        <w:rPr>
          <w:rFonts w:ascii="Times New Roman" w:hAnsi="Times New Roman"/>
          <w:sz w:val="20"/>
        </w:rPr>
        <w:t>[24] C. Villani, Optimal Transport: Old and New, ser. Grundlehren der mathematischen Wissenschaften. Berlin, Germany: Springer-Verlag, vol. 338, 2009.</w:t>
      </w:r>
    </w:p>
    <w:p>
      <w:pPr>
        <w:spacing w:after="100" w:line="276" w:lineRule="auto"/>
      </w:pPr>
      <w:r>
        <w:rPr>
          <w:rFonts w:ascii="Times New Roman" w:hAnsi="Times New Roman"/>
          <w:sz w:val="20"/>
        </w:rPr>
        <w:t>[25] J. M. Lee, Introduction to Smooth Manifolds, 2nd ed., ser. Graduate Texts in Mathematics. New York, NY, USA: Springer, vol. 218, 2013.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