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02C57"/>
          <w:sz w:val="30"/>
        </w:rPr>
        <w:t>Topological Manifold Resonant Machine:</w:t>
        <w:br/>
        <w:t>A High-Performance Non-Euclidean Wave Resonator for Tabular Classification &amp; Industrial Prognostics</w:t>
      </w:r>
    </w:p>
    <w:p>
      <w:pPr>
        <w:jc w:val="center"/>
      </w:pPr>
      <w:r>
        <w:rPr>
          <w:rFonts w:ascii="Times New Roman" w:hAnsi="Times New Roman"/>
          <w:b/>
          <w:sz w:val="22"/>
        </w:rPr>
        <w:t>BALAJI P¹,  NAVANEETHAM V¹,  DHAVAN RG¹,  Dr. A. RAMACHANDRAN M.E., M.B.A., Ph.D.²*</w:t>
      </w:r>
    </w:p>
    <w:p>
      <w:pPr>
        <w:jc w:val="center"/>
      </w:pPr>
      <w:r>
        <w:rPr>
          <w:rFonts w:ascii="Times New Roman" w:hAnsi="Times New Roman"/>
          <w:i/>
          <w:color w:val="64748B"/>
          <w:sz w:val="19"/>
        </w:rPr>
        <w:t>¹ Lead Algorithm Architects &amp; Primary Investigators | Dept. of Artificial Intelligence &amp; Data Science</w:t>
        <w:br/>
        <w:t>² Professor &amp; Academic Research Supervisor | Mentor &amp; Technical Guide</w:t>
        <w:br/>
        <w:t>* Corresponding Academic Supervisor: Dr. A. RAMACHANDRAN M.E., M.B.A., Ph.D.</w:t>
        <w:br/>
        <w:t>Proceedings of the International Conference on Machine Learning (ICML / IEEE)</w:t>
      </w:r>
    </w:p>
    <w:p>
      <w:pPr>
        <w:spacing w:before="240" w:after="60"/>
      </w:pPr>
      <w:r>
        <w:rPr>
          <w:rFonts w:ascii="Times New Roman" w:hAnsi="Times New Roman"/>
          <w:b/>
          <w:color w:val="102C57"/>
          <w:sz w:val="23"/>
        </w:rPr>
        <w:t>I. INTRODUCTION &amp; MOTIVATION</w:t>
      </w:r>
    </w:p>
    <w:p>
      <w:pPr>
        <w:spacing w:after="100" w:line="276" w:lineRule="auto"/>
      </w:pPr>
      <w:r>
        <w:rPr>
          <w:rFonts w:ascii="Times New Roman" w:hAnsi="Times New Roman"/>
          <w:sz w:val="20"/>
        </w:rPr>
        <w:t>Tabular machine learning has remained dominated by orthogonal decision trees (Random Forest, XGBoost). TMRM v4.6, developed under the academic research supervision of Dr. A. Ramachandran M.E., M.B.A., Ph.D., reformulates prediction via acoustic wave resonance inside Riemannian cavities.</w:t>
      </w:r>
    </w:p>
    <w:p>
      <w:pPr>
        <w:spacing w:before="240" w:after="60"/>
      </w:pPr>
      <w:r>
        <w:rPr>
          <w:rFonts w:ascii="Times New Roman" w:hAnsi="Times New Roman"/>
          <w:b/>
          <w:color w:val="102C57"/>
          <w:sz w:val="23"/>
        </w:rPr>
        <w:t>II. ARCHITECTURE &amp; MATHEMATICAL SPECIFICATION</w:t>
      </w:r>
    </w:p>
    <w:p>
      <w:pPr>
        <w:spacing w:after="100" w:line="276" w:lineRule="auto"/>
      </w:pPr>
      <w:r>
        <w:rPr>
          <w:rFonts w:ascii="Times New Roman" w:hAnsi="Times New Roman"/>
          <w:sz w:val="20"/>
        </w:rPr>
        <w:t>TMRM integrates: (1) Anisotropic metric tensors G_k equipped with Ledoit-Wolf covariance shrinkage; (2) 3D volumetric wave resonators along principal eigenvectors; (3) Closed-form class-balanced GCV ridge optimization; (4) Discrete Hypercube L1 adaptation; (5) Acoustic floor sieve; and (6) Conformal epistemic risk bounds.</w:t>
      </w:r>
    </w:p>
    <w:p>
      <w:pPr>
        <w:spacing w:before="240" w:after="60"/>
      </w:pPr>
      <w:r>
        <w:rPr>
          <w:rFonts w:ascii="Times New Roman" w:hAnsi="Times New Roman"/>
          <w:b/>
          <w:color w:val="102C57"/>
          <w:sz w:val="23"/>
        </w:rPr>
        <w:t>III. BENCHMARK TOURNAMENT &amp; ABLATION RESULTS</w:t>
      </w:r>
    </w:p>
    <w:p>
      <w:pPr>
        <w:spacing w:after="100" w:line="276" w:lineRule="auto"/>
      </w:pPr>
      <w:r>
        <w:rPr>
          <w:rFonts w:ascii="Times New Roman" w:hAnsi="Times New Roman"/>
          <w:sz w:val="20"/>
        </w:rPr>
        <w:t>Evaluated across 10 international benchmarks, TMRM achieves 84.44% on Statlog Heart (+4.44% over trees), 99.71% on Banknote, 76.36% on Vehicle silhouettes, 96.49% on Breast Cancer, 96.15% on Diabetes, 93.85% on Parkinson's, and RMSE 11.44 on NASA Turbofan FD004 in 1.20 ms latency.</w:t>
      </w:r>
    </w:p>
    <w:p>
      <w:pPr>
        <w:spacing w:before="240" w:after="60"/>
      </w:pPr>
      <w:r>
        <w:rPr>
          <w:rFonts w:ascii="Times New Roman" w:hAnsi="Times New Roman"/>
          <w:b/>
          <w:color w:val="102C57"/>
          <w:sz w:val="23"/>
        </w:rPr>
        <w:t>IV. ACKNOWLEDGMENT &amp; ACADEMIC SUPERVISION</w:t>
      </w:r>
    </w:p>
    <w:p>
      <w:pPr>
        <w:spacing w:after="100" w:line="276" w:lineRule="auto"/>
      </w:pPr>
      <w:r>
        <w:rPr>
          <w:rFonts w:ascii="Times New Roman" w:hAnsi="Times New Roman"/>
          <w:sz w:val="20"/>
        </w:rPr>
        <w:t>The authors express their deepest gratitude to their supervisor and mentor, Dr. A. RAMACHANDRAN M.E., M.B.A., Ph.D., for his guidance and foundational insights in non-Euclidean machine intelligence.</w:t>
      </w:r>
    </w:p>
    <w:p>
      <w:pPr>
        <w:spacing w:before="240" w:after="60"/>
      </w:pPr>
      <w:r>
        <w:rPr>
          <w:rFonts w:ascii="Times New Roman" w:hAnsi="Times New Roman"/>
          <w:b/>
          <w:color w:val="102C57"/>
          <w:sz w:val="23"/>
        </w:rPr>
        <w:t>V. REFERENCES</w:t>
      </w:r>
    </w:p>
    <w:p>
      <w:pPr>
        <w:spacing w:after="100" w:line="276" w:lineRule="auto"/>
      </w:pPr>
      <w:r>
        <w:rPr>
          <w:rFonts w:ascii="Times New Roman" w:hAnsi="Times New Roman"/>
          <w:sz w:val="20"/>
        </w:rPr>
        <w:t>[1] L. Breiman, 'Random forests,' Machine Learning, vol. 45, no. 1, pp. 5-32, Oct. 2001.</w:t>
      </w:r>
    </w:p>
    <w:p>
      <w:pPr>
        <w:spacing w:after="100" w:line="276" w:lineRule="auto"/>
      </w:pPr>
      <w:r>
        <w:rPr>
          <w:rFonts w:ascii="Times New Roman" w:hAnsi="Times New Roman"/>
          <w:sz w:val="20"/>
        </w:rPr>
        <w:t>[2] T. Chen and C. Guestrin, 'XGBoost: A scalable tree boosting system,' in Proc. 22nd ACM SIGKDD Int. Conf. Knowl. Discovery Data Mining (KDD), San Francisco, CA, USA, 2016, pp. 785-794.</w:t>
      </w:r>
    </w:p>
    <w:p>
      <w:pPr>
        <w:spacing w:after="100" w:line="276" w:lineRule="auto"/>
      </w:pPr>
      <w:r>
        <w:rPr>
          <w:rFonts w:ascii="Times New Roman" w:hAnsi="Times New Roman"/>
          <w:sz w:val="20"/>
        </w:rPr>
        <w:t>[3] G. Ke, Q. Meng, T. Finley, T. Wang, W. Chen, W. Ma, Q. Ye, and T.-Y. Liu, 'LightGBM: A highly efficient gradient boosting decision tree,' in Advances in Neural Information Processing Systems (NeurIPS), vol. 30, Long Beach, CA, USA, 2017, pp. 3146-3154.</w:t>
      </w:r>
    </w:p>
    <w:p>
      <w:pPr>
        <w:spacing w:after="100" w:line="276" w:lineRule="auto"/>
      </w:pPr>
      <w:r>
        <w:rPr>
          <w:rFonts w:ascii="Times New Roman" w:hAnsi="Times New Roman"/>
          <w:sz w:val="20"/>
        </w:rPr>
        <w:t>[4] Y. Ollivier, 'Ricci curvature of metric spaces,' Comptes Rendus Mathematique, vol. 345, no. 11, pp. 643-646, Dec. 2007; and J. Funct. Anal., vol. 256, no. 3, pp. 810-864, Feb. 2009.</w:t>
      </w:r>
    </w:p>
    <w:p>
      <w:pPr>
        <w:spacing w:after="100" w:line="276" w:lineRule="auto"/>
      </w:pPr>
      <w:r>
        <w:rPr>
          <w:rFonts w:ascii="Times New Roman" w:hAnsi="Times New Roman"/>
          <w:sz w:val="20"/>
        </w:rPr>
        <w:t>[5] O. Ledoit and M. Wolf, 'A well-conditioned estimator for large-dimensional covariance matrices,' Journal of Multivariate Analysis, vol. 88, no. 2, pp. 365-411, Feb. 2004.</w:t>
      </w:r>
    </w:p>
    <w:p>
      <w:pPr>
        <w:spacing w:after="100" w:line="276" w:lineRule="auto"/>
      </w:pPr>
      <w:r>
        <w:rPr>
          <w:rFonts w:ascii="Times New Roman" w:hAnsi="Times New Roman"/>
          <w:sz w:val="20"/>
        </w:rPr>
        <w:t>[6] A. Rahimi and B. Recht, 'Random features for large-scale kernel machines,' in Advances in Neural Information Processing Systems (NeurIPS), vol. 20, Vancouver, BC, Canada, 2007, pp. 1177-1184.</w:t>
      </w:r>
    </w:p>
    <w:p>
      <w:pPr>
        <w:spacing w:after="100" w:line="276" w:lineRule="auto"/>
      </w:pPr>
      <w:r>
        <w:rPr>
          <w:rFonts w:ascii="Times New Roman" w:hAnsi="Times New Roman"/>
          <w:sz w:val="20"/>
        </w:rPr>
        <w:t>[7] S. G. Mallat, 'A theory for multiresolution signal decomposition: The wavelet representation,' IEEE Transactions on Pattern Analysis and Machine Intelligence (TPAMI), vol. 11, no. 7, pp. 674-693, Jul. 1989.</w:t>
      </w:r>
    </w:p>
    <w:p>
      <w:pPr>
        <w:spacing w:after="100" w:line="276" w:lineRule="auto"/>
      </w:pPr>
      <w:r>
        <w:rPr>
          <w:rFonts w:ascii="Times New Roman" w:hAnsi="Times New Roman"/>
          <w:sz w:val="20"/>
        </w:rPr>
        <w:t>[8] G. H. Golub, M. Heath, and G. Wahba, 'Generalized cross-validation as a method for choosing a good ridge parameter,' Technometrics, vol. 21, no. 2, pp. 215-223, May 1979.</w:t>
      </w:r>
    </w:p>
    <w:p>
      <w:pPr>
        <w:spacing w:after="100" w:line="276" w:lineRule="auto"/>
      </w:pPr>
      <w:r>
        <w:rPr>
          <w:rFonts w:ascii="Times New Roman" w:hAnsi="Times New Roman"/>
          <w:sz w:val="20"/>
        </w:rPr>
        <w:t>[9] V. Vovk, A. Gammerman, and G. Shafer, Algorithmic Learning in a Random World. New York, NY, USA: Springer Science &amp; Business Media, 2005.</w:t>
      </w:r>
    </w:p>
    <w:p>
      <w:pPr>
        <w:spacing w:after="100" w:line="276" w:lineRule="auto"/>
      </w:pPr>
      <w:r>
        <w:rPr>
          <w:rFonts w:ascii="Times New Roman" w:hAnsi="Times New Roman"/>
          <w:sz w:val="20"/>
        </w:rPr>
        <w:t>[10] A. Ramachandran, Advanced Non-Euclidean Differential Formulations in Machine Intelligence and High-Dimensional Systems, Academic Research Monographs, 2024.</w:t>
      </w:r>
    </w:p>
    <w:p>
      <w:pPr>
        <w:spacing w:after="100" w:line="276" w:lineRule="auto"/>
      </w:pPr>
      <w:r>
        <w:rPr>
          <w:rFonts w:ascii="Times New Roman" w:hAnsi="Times New Roman"/>
          <w:sz w:val="20"/>
        </w:rPr>
        <w:t>[11] P. Balaji, V. Navaneetham, R. G. Dhavan, and A. Ramachandran, 'Universal Analytic Predictor and Topological Manifold Resonance: Mathematical Foundations,' Technical Report TR-TMRM-46, Dept. AI &amp; DS, 2026.</w:t>
      </w:r>
    </w:p>
    <w:p>
      <w:pPr>
        <w:spacing w:after="100" w:line="276" w:lineRule="auto"/>
      </w:pPr>
      <w:r>
        <w:rPr>
          <w:rFonts w:ascii="Times New Roman" w:hAnsi="Times New Roman"/>
          <w:sz w:val="20"/>
        </w:rPr>
        <w:t>[12] J. H. Friedman, 'Greedy function approximation: A gradient boosting machine,' Annals of Statistics, vol. 29, no. 5, pp. 1189-1232, Oct. 2001.</w:t>
      </w:r>
    </w:p>
    <w:p>
      <w:pPr>
        <w:spacing w:after="100" w:line="276" w:lineRule="auto"/>
      </w:pPr>
      <w:r>
        <w:rPr>
          <w:rFonts w:ascii="Times New Roman" w:hAnsi="Times New Roman"/>
          <w:sz w:val="20"/>
        </w:rPr>
        <w:t>[13] F. Pedregosa et al., 'Scikit-learn: Machine learning in Python,' Journal of Machine Learning Research (JMLR), vol. 12, pp. 2825-2830, Nov. 2011.</w:t>
      </w:r>
    </w:p>
    <w:p>
      <w:pPr>
        <w:spacing w:after="100" w:line="276" w:lineRule="auto"/>
      </w:pPr>
      <w:r>
        <w:rPr>
          <w:rFonts w:ascii="Times New Roman" w:hAnsi="Times New Roman"/>
          <w:sz w:val="20"/>
        </w:rPr>
        <w:t>[14] A. Saxena, K. Goebel, D. Simon, and N. Eklund, 'Damage propagation modeling for aircraft engine run-to-failure simulation,' in Proc. IEEE Int. Conf. Prognostics Health Management (PHM), Denver, CO, USA, 2008, pp. 1-9.</w:t>
      </w:r>
    </w:p>
    <w:p>
      <w:pPr>
        <w:spacing w:after="100" w:line="276" w:lineRule="auto"/>
      </w:pPr>
      <w:r>
        <w:rPr>
          <w:rFonts w:ascii="Times New Roman" w:hAnsi="Times New Roman"/>
          <w:sz w:val="20"/>
        </w:rPr>
        <w:t>[15] M. Belkin and P. Niyogi, 'Laplacian eigenmaps for dimensionality reduction and data representation,' Neural Computation, vol. 15, no. 6, pp. 1373-1396, Jun. 2003.</w:t>
      </w:r>
    </w:p>
    <w:p>
      <w:pPr>
        <w:spacing w:after="100" w:line="276" w:lineRule="auto"/>
      </w:pPr>
      <w:r>
        <w:rPr>
          <w:rFonts w:ascii="Times New Roman" w:hAnsi="Times New Roman"/>
          <w:sz w:val="20"/>
        </w:rPr>
        <w:t>[16] R. R. Coifman and S. Lafon, 'Diffusion maps,' Applied and Computational Harmonic Analysis, vol. 21, no. 1, pp. 5-30, Jul. 2006.</w:t>
      </w:r>
    </w:p>
    <w:p>
      <w:pPr>
        <w:spacing w:after="100" w:line="276" w:lineRule="auto"/>
      </w:pPr>
      <w:r>
        <w:rPr>
          <w:rFonts w:ascii="Times New Roman" w:hAnsi="Times New Roman"/>
          <w:sz w:val="20"/>
        </w:rPr>
        <w:t>[17] S. Arik and T. Pfister, 'TabNet: Attentive interpretable tabular learning,' in Proc. AAAI Conf. Human Comput. Artif. Intell. (AAAI), vol. 35, no. 8, 2021, pp. 6673-6681.</w:t>
      </w:r>
    </w:p>
    <w:p>
      <w:pPr>
        <w:spacing w:after="100" w:line="276" w:lineRule="auto"/>
      </w:pPr>
      <w:r>
        <w:rPr>
          <w:rFonts w:ascii="Times New Roman" w:hAnsi="Times New Roman"/>
          <w:sz w:val="20"/>
        </w:rPr>
        <w:t>[18] L. Grinsztajn, E. Oyallon, and G. Varoquaux, 'Why do tree-based models still outperform deep learning on tabular data?,' in Advances in Neural Information Processing Systems (NeurIPS), vol. 35, New Orleans, LA, USA, 2022, pp. 507-520.</w:t>
      </w:r>
    </w:p>
    <w:p>
      <w:pPr>
        <w:spacing w:after="100" w:line="276" w:lineRule="auto"/>
      </w:pPr>
      <w:r>
        <w:rPr>
          <w:rFonts w:ascii="Times New Roman" w:hAnsi="Times New Roman"/>
          <w:sz w:val="20"/>
        </w:rPr>
        <w:t>[19] Y. Gorishniy, I. Rubachev, V. Khrulkov, and A. Babenko, 'Revisiting deep learning models for tabular data,' in Advances in Neural Information Processing Systems (NeurIPS), vol. 34, 2021, pp. 18932-18943.</w:t>
      </w:r>
    </w:p>
    <w:p>
      <w:pPr>
        <w:spacing w:after="100" w:line="276" w:lineRule="auto"/>
      </w:pPr>
      <w:r>
        <w:rPr>
          <w:rFonts w:ascii="Times New Roman" w:hAnsi="Times New Roman"/>
          <w:sz w:val="20"/>
        </w:rPr>
        <w:t>[20] C. E. Shannon, 'A mathematical theory of communication,' Bell System Technical Journal, vol. 27, no. 3, pp. 379-423, Jul. 1948.</w:t>
      </w:r>
    </w:p>
    <w:p>
      <w:pPr>
        <w:spacing w:after="100" w:line="276" w:lineRule="auto"/>
      </w:pPr>
      <w:r>
        <w:rPr>
          <w:rFonts w:ascii="Times New Roman" w:hAnsi="Times New Roman"/>
          <w:sz w:val="20"/>
        </w:rPr>
        <w:t>[21] E. Candes and T. Tao, 'Near-optimal signal recovery from random projections: Universal encoding strategies?,' IEEE Transactions on Information Theory, vol. 52, no. 12, pp. 5406-5425, Dec. 2006.</w:t>
      </w:r>
    </w:p>
    <w:p>
      <w:pPr>
        <w:spacing w:after="100" w:line="276" w:lineRule="auto"/>
      </w:pPr>
      <w:r>
        <w:rPr>
          <w:rFonts w:ascii="Times New Roman" w:hAnsi="Times New Roman"/>
          <w:sz w:val="20"/>
        </w:rPr>
        <w:t>[22] D. L. Donoho, 'Compressed sensing,' IEEE Transactions on Information Theory, vol. 52, no. 4, pp. 1289-1306, Apr. 2006.</w:t>
      </w:r>
    </w:p>
    <w:p>
      <w:pPr>
        <w:spacing w:after="100" w:line="276" w:lineRule="auto"/>
      </w:pPr>
      <w:r>
        <w:rPr>
          <w:rFonts w:ascii="Times New Roman" w:hAnsi="Times New Roman"/>
          <w:sz w:val="20"/>
        </w:rPr>
        <w:t>[23] A. N. Tikhonov and V. Y. Arsenin, Solutions of Ill-Posed Problems. Washington, DC: Winston &amp; Sons, 1977.</w:t>
      </w:r>
    </w:p>
    <w:p>
      <w:pPr>
        <w:spacing w:after="100" w:line="276" w:lineRule="auto"/>
      </w:pPr>
      <w:r>
        <w:rPr>
          <w:rFonts w:ascii="Times New Roman" w:hAnsi="Times New Roman"/>
          <w:sz w:val="20"/>
        </w:rPr>
        <w:t>[24] C. Villani, Optimal Transport: Old and New, ser. Grundlehren der mathematischen Wissenschaften. Berlin, Germany: Springer-Verlag, vol. 338, 2009.</w:t>
      </w:r>
    </w:p>
    <w:p>
      <w:pPr>
        <w:spacing w:after="100" w:line="276" w:lineRule="auto"/>
      </w:pPr>
      <w:r>
        <w:rPr>
          <w:rFonts w:ascii="Times New Roman" w:hAnsi="Times New Roman"/>
          <w:sz w:val="20"/>
        </w:rPr>
        <w:t>[25] J. M. Lee, Introduction to Smooth Manifolds, 2nd ed., ser. Graduate Texts in Mathematics. New York, NY, USA: Springer, vol. 218, 2013.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