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rFonts w:ascii="Times New Roman" w:hAnsi="Times New Roman"/>
          <w:b/>
          <w:color w:val="102C57"/>
          <w:sz w:val="33"/>
        </w:rPr>
        <w:t>Topological Manifold Resonant Machine (TMRM v4.6): A Unified Non-Euclidean Wave Resonant Architecture for Continuous Predictive Modeling and Industrial Prognostics</w:t>
      </w:r>
    </w:p>
    <w:p>
      <w:pPr>
        <w:spacing w:before="40" w:after="40"/>
        <w:jc w:val="center"/>
      </w:pPr>
      <w:r>
        <w:rPr>
          <w:rFonts w:ascii="Times New Roman" w:hAnsi="Times New Roman"/>
          <w:b/>
          <w:color w:val="1E293B"/>
          <w:sz w:val="23"/>
        </w:rPr>
        <w:t>BALAJI P¹,   NAVANEETHAM V¹,   DHAVAN RG¹,   Dr. A. RAMACHANDRAN M.E., M.B.A., Ph.D.²*</w:t>
      </w:r>
    </w:p>
    <w:p>
      <w:pPr>
        <w:spacing w:before="0" w:after="240"/>
        <w:jc w:val="center"/>
      </w:pPr>
      <w:r>
        <w:rPr>
          <w:rFonts w:ascii="Times New Roman" w:hAnsi="Times New Roman"/>
          <w:i/>
          <w:color w:val="64748B"/>
          <w:sz w:val="19"/>
        </w:rPr>
        <w:t>¹ Lead Algorithm Architects &amp; Primary Research Investigators</w:t>
        <w:br/>
        <w:t>² Professor &amp; Academic Research Supervisor | Mentor &amp; Technical Guide</w:t>
        <w:br/>
        <w:t>* Corresponding Academic Supervisor: Dr. A. RAMACHANDRAN M.E., M.B.A., Ph.D.</w:t>
        <w:br/>
        <w:t>Advanced Machine Intelligence &amp; Non-Euclidean Computing Laboratory | Official Submission Edition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pPr>
              <w:spacing w:before="40" w:after="40" w:line="276" w:lineRule="auto"/>
            </w:pPr>
            <w:r>
              <w:rPr>
                <w:rFonts w:ascii="Times New Roman" w:hAnsi="Times New Roman"/>
                <w:b/>
                <w:sz w:val="19"/>
              </w:rPr>
              <w:t xml:space="preserve">Abstract— </w:t>
            </w:r>
            <w:r>
              <w:rPr>
                <w:rFonts w:ascii="Times New Roman" w:hAnsi="Times New Roman"/>
                <w:sz w:val="19"/>
              </w:rPr>
              <w:t>For over two decades, tabular and clinical predictive modeling has remained dominated by orthogonal, axis-aligned decision trees (Random Forest, XGBoost, LightGBM) that induce discontinuous staircase boundaries, or computationally intensive deep neural networks requiring backpropagation through millions of parameters without finite-sample epistemic guarantees. In this paper, we introduce the Topological Manifold Resonant Machine (TMRM v4.6.0), a radically ground-up, non-Euclidean machine learning architecture developed under the research supervision and academic mentorship of Dr. A. Ramachandran M.E., M.B.A., Ph.D. TMRM reformulates tabular prediction as an acoustic standing wave resonance problem on curved Riemannian manifolds. The architecture integrates: (1) Anisotropic Riemannian metric tensor cavities G_k = (Sigma_k + epsilon*I)^(-1) equipped with Ledoit-Wolf diagonal shrinkage; (2) Multi-Axis Principal Eigenvector Wave Resonators (v_1, v_2, v_3) capturing 3D volumetric cavity vibrations; (3) Dynamic Discrete Hypercube Adaptation shifting metric weightings towards L1 Manhattan and Chebyshev boundaries on binary/categorical matrices; (4) Non-Linear Hamiltonian Mutual Rank Feature Weighting; (5) Closed-Form Class-Balanced Weighted Generalized Cross-Validation (GCV) optimal regularization; and (6) Conformal Epistemic Risk Assessment delivering finite-sample coverage guarantees. Evaluated across 10 international real-world benchmark datasets via 5-Fold Stratified Cross-Validation, TMRM v4.6 achieves decisive superiority: on Statlog Heart Disease, TMRM achieves 84.44% accuracy (crushing Random Forest, XGBoost, and LightGBM at 80.00% by +4.44%); on Banknote Wavelet Authentication, it attains 99.71% (beating XGBoost 99.64%); on 4-Class Vehicle Silhouettes, it scores 76.36% (surpassing Random Forest 73.29% and XGBoost 74.00%); on Wisconsin Breast Cancer, it delivers 96.49% accuracy and a tournament-high 99.67% ROC-AUC; on Early Stage Diabetes Risk, it records 96.15%; on Parkinson's disease, 93.85% (beating XGBoost 92.82%); and on NASA Turbofan C-MAPSS FD004, it shatters worldwide literature benchmarks with RMSE = 11.44 cycles in 1.20 ms inference latency. This treatise provides the complete theoretical foundation, mathematical proofs, forensic ablation audits, and empirical verification.</w:t>
            </w:r>
          </w:p>
        </w:tc>
      </w:tr>
    </w:tbl>
    <w:p>
      <w:pPr>
        <w:spacing w:before="120" w:after="200"/>
      </w:pPr>
      <w:r>
        <w:rPr>
          <w:rFonts w:ascii="Times New Roman" w:hAnsi="Times New Roman"/>
          <w:b/>
          <w:sz w:val="19"/>
        </w:rPr>
        <w:t xml:space="preserve">Index Terms— </w:t>
      </w:r>
      <w:r>
        <w:rPr>
          <w:rFonts w:ascii="Times New Roman" w:hAnsi="Times New Roman"/>
          <w:i/>
          <w:sz w:val="19"/>
        </w:rPr>
        <w:t>Riemannian Geometry, Wave Resonance, Multi-Axis Standing Waves, Metric Tensor, Generalized Cross-Validation, Tabular Foundation Models, Conformal Prediction, Prognostics.</w:t>
      </w:r>
    </w:p>
    <w:p>
      <w:pPr>
        <w:keepNext/>
        <w:spacing w:before="280" w:after="80"/>
      </w:pPr>
      <w:r>
        <w:rPr>
          <w:rFonts w:ascii="Times New Roman" w:hAnsi="Times New Roman"/>
          <w:b/>
          <w:color w:val="102C57"/>
          <w:sz w:val="24"/>
        </w:rPr>
        <w:t>I. INTRODUCTION &amp; PROBLEM FORMULATION</w:t>
      </w:r>
    </w:p>
    <w:p>
      <w:pPr>
        <w:spacing w:before="0" w:after="90" w:line="276" w:lineRule="auto"/>
        <w:jc w:val="both"/>
      </w:pPr>
      <w:r>
        <w:rPr>
          <w:rFonts w:ascii="Times New Roman" w:hAnsi="Times New Roman"/>
          <w:b w:val="0"/>
          <w:i w:val="0"/>
          <w:sz w:val="20"/>
        </w:rPr>
        <w:t>Predictive modeling on tabular and clinical data has reached a fundamental theoretical impasse. While deep learning has revolutionized computer vision and natural language processing through continuous representation learning, tabular modeling continues to be dominated by orthogonal decision tree ensembles—principally Random Forest (Breiman, 2001), XGBoost (Chen &amp; Guestrin, 2016), and LightGBM (Ke et al., 2017). Despite their empirical utility, decision trees suffer from intrinsic structural defects: they recursively bisect feature space along axis-aligned hyperplanes, producing non-smooth staircase decision surfaces, creating catastrophic boundary errors on rotational manifolds, and failing to model continuous physical trajectories.</w:t>
      </w:r>
    </w:p>
    <w:p>
      <w:pPr>
        <w:spacing w:before="0" w:after="90" w:line="276" w:lineRule="auto"/>
        <w:jc w:val="both"/>
      </w:pPr>
      <w:r>
        <w:rPr>
          <w:rFonts w:ascii="Times New Roman" w:hAnsi="Times New Roman"/>
          <w:b w:val="0"/>
          <w:i w:val="0"/>
          <w:sz w:val="20"/>
        </w:rPr>
        <w:t>Attempts to deploy deep neural networks on tabular data frequently result in excessive parameterization, severe vulnerability to local minima, high compute overhead, and lack of certified epistemic safety. To resolve this dilemma, this paper presents the Topological Manifold Resonant Machine (TMRM v4.6.0), conceived and implemented by lead algorithm investigators Balaji P, Navaneetham V, and Dhavan RG under the academic supervision and research mentorship of Dr. A. Ramachandran M.E., M.B.A., Ph.D. TMRM re-establishes machine learning upon the foundational principles of continuous Riemannian differential geometry and acoustic cavity electrodynamics.</w:t>
      </w:r>
    </w:p>
    <w:p>
      <w:pPr>
        <w:keepNext/>
        <w:spacing w:before="280" w:after="80"/>
      </w:pPr>
      <w:r>
        <w:rPr>
          <w:rFonts w:ascii="Times New Roman" w:hAnsi="Times New Roman"/>
          <w:b/>
          <w:color w:val="102C57"/>
          <w:sz w:val="24"/>
        </w:rPr>
        <w:t>II. RELATED WORK &amp; THEORETICAL ANTECEDENTS</w:t>
      </w:r>
    </w:p>
    <w:p>
      <w:pPr>
        <w:spacing w:before="0" w:after="90" w:line="276" w:lineRule="auto"/>
        <w:jc w:val="both"/>
      </w:pPr>
      <w:r>
        <w:rPr>
          <w:rFonts w:ascii="Times New Roman" w:hAnsi="Times New Roman"/>
          <w:b w:val="0"/>
          <w:i w:val="0"/>
          <w:sz w:val="20"/>
        </w:rPr>
        <w:t>Rather than citing broad heuristic methods, TMRM builds directly upon specific, rigorous mathematical milestones:</w:t>
      </w:r>
    </w:p>
    <w:p>
      <w:pPr>
        <w:spacing w:before="0" w:after="90" w:line="276" w:lineRule="auto"/>
        <w:jc w:val="both"/>
      </w:pPr>
      <w:r>
        <w:rPr>
          <w:rFonts w:ascii="Times New Roman" w:hAnsi="Times New Roman"/>
          <w:b w:val="0"/>
          <w:i w:val="0"/>
          <w:sz w:val="20"/>
        </w:rPr>
        <w:t>1. Metric Curvature Measurement: Yann Ollivier (2009) established Ollivier-Ricci curvature on metric spaces via optimal transport Wasserstein distances kappa(x, y) = 1 - W_1(m_x, m_y)/d(x, y). TMRM directly adapts this formula to autonomously tune between spherical (L2), flat, and hyperbolic (Chebyshev) metric geometries.</w:t>
      </w:r>
    </w:p>
    <w:p>
      <w:pPr>
        <w:spacing w:before="0" w:after="90" w:line="276" w:lineRule="auto"/>
        <w:jc w:val="both"/>
      </w:pPr>
      <w:r>
        <w:rPr>
          <w:rFonts w:ascii="Times New Roman" w:hAnsi="Times New Roman"/>
          <w:b w:val="0"/>
          <w:i w:val="0"/>
          <w:sz w:val="20"/>
        </w:rPr>
        <w:t>2. High-Dimensional Covariance Regularization: Olivier Ledoit and Michael Wolf (2004) proved that empirical covariance estimators undergo singularity in high dimensions and derived optimal diagonal target shrinkage. TMRM employs Ledoit-Wolf shrinkage to stabilize anisotropic metric tensors G_k across micro-clusters.</w:t>
      </w:r>
    </w:p>
    <w:p>
      <w:pPr>
        <w:spacing w:before="0" w:after="90" w:line="276" w:lineRule="auto"/>
        <w:jc w:val="both"/>
      </w:pPr>
      <w:r>
        <w:rPr>
          <w:rFonts w:ascii="Times New Roman" w:hAnsi="Times New Roman"/>
          <w:b w:val="0"/>
          <w:i w:val="0"/>
          <w:sz w:val="20"/>
        </w:rPr>
        <w:t>3. Continuous Wave Projections &amp; Closed-Form Inversion: Ali Rahimi and Benjamin Recht (2007) proved that cosine wave projections cos(omega^T x + phi) approximate continuous kernel manifolds and can be solved in closed form via linear regularized ridge systems without iterative backpropagation. TMRM extends this principle from flat Euclidean spaces to curved anisotropic Riemannian potential cavities.</w:t>
      </w:r>
    </w:p>
    <w:p>
      <w:pPr>
        <w:spacing w:before="0" w:after="90" w:line="276" w:lineRule="auto"/>
        <w:jc w:val="both"/>
      </w:pPr>
      <w:r>
        <w:rPr>
          <w:rFonts w:ascii="Times New Roman" w:hAnsi="Times New Roman"/>
          <w:b w:val="0"/>
          <w:i w:val="0"/>
          <w:sz w:val="20"/>
        </w:rPr>
        <w:t>4. Dyadic Multi-Resolution Analysis: Stéphane Mallat (1989) formulated dyadic wavelet decomposition, proving that physical signals are naturally resolved into fundamental base octaves and high-frequency boundary harmonics. TMRM operationalizes this through 3 dyadic wave octaves (1x, 2x, 3x).</w:t>
      </w:r>
    </w:p>
    <w:p>
      <w:pPr>
        <w:spacing w:before="0" w:after="90" w:line="276" w:lineRule="auto"/>
        <w:jc w:val="both"/>
      </w:pPr>
      <w:r>
        <w:rPr>
          <w:rFonts w:ascii="Times New Roman" w:hAnsi="Times New Roman"/>
          <w:b w:val="0"/>
          <w:i w:val="0"/>
          <w:sz w:val="20"/>
        </w:rPr>
        <w:t>5. Closed-Form Trace Regularization (GCV): Gene Golub, Michael Heath, and Grace Wahba (1979) derived Generalized Cross-Validation for selecting ridge regularization parameters in single-pass closed form via eigenvalue traces Tr(H) = sum(gamma_i / (gamma_i + lambda)). TMRM v4.6 generalizes this to Class-Balanced Weighted GCV.</w:t>
      </w:r>
    </w:p>
    <w:p>
      <w:pPr>
        <w:spacing w:before="0" w:after="90" w:line="276" w:lineRule="auto"/>
        <w:jc w:val="both"/>
      </w:pPr>
      <w:r>
        <w:rPr>
          <w:rFonts w:ascii="Times New Roman" w:hAnsi="Times New Roman"/>
          <w:b w:val="0"/>
          <w:i w:val="0"/>
          <w:sz w:val="20"/>
        </w:rPr>
        <w:t>6. Certified Epistemic Risk Bounds: Vladimir Vovk, Alex Gammerman, and Glenn Shafer (2005) introduced conformal prediction, establishing distribution-free finite-sample guarantees P(Y in C(X)) &gt;= 1 - alpha. TMRM integrates conformal non-conformity quantiles into its native safety audit.</w:t>
      </w:r>
    </w:p>
    <w:p>
      <w:pPr>
        <w:keepNext/>
        <w:spacing w:before="280" w:after="80"/>
      </w:pPr>
      <w:r>
        <w:rPr>
          <w:rFonts w:ascii="Times New Roman" w:hAnsi="Times New Roman"/>
          <w:b/>
          <w:color w:val="102C57"/>
          <w:sz w:val="24"/>
        </w:rPr>
        <w:t>III. MATHEMATICAL FORMULATION OF TMRM v4.6</w:t>
      </w:r>
    </w:p>
    <w:p>
      <w:pPr>
        <w:keepNext/>
        <w:spacing w:before="200" w:after="60"/>
      </w:pPr>
      <w:r>
        <w:rPr>
          <w:rFonts w:ascii="Times New Roman" w:hAnsi="Times New Roman"/>
          <w:b/>
          <w:color w:val="1E293B"/>
          <w:sz w:val="21"/>
        </w:rPr>
        <w:t>A. Anisotropic Riemannian Metric Tensor &amp; Potential Well Construction</w:t>
      </w:r>
    </w:p>
    <w:p>
      <w:pPr>
        <w:spacing w:before="0" w:after="90" w:line="276" w:lineRule="auto"/>
        <w:jc w:val="both"/>
      </w:pPr>
      <w:r>
        <w:rPr>
          <w:rFonts w:ascii="Times New Roman" w:hAnsi="Times New Roman"/>
          <w:b w:val="0"/>
          <w:i w:val="0"/>
          <w:sz w:val="20"/>
        </w:rPr>
        <w:t>Given standardized training observations X in R^(N x D), data points partition into class topological manifolds characterized by centroid leaders mu_k. The local geometry surrounding each centroid is governed by an Anisotropic Metric Tensor:</w:t>
      </w:r>
    </w:p>
    <w:tbl>
      <w:tblPr>
        <w:tblW w:type="auto" w:w="0"/>
        <w:jc w:val="center"/>
        <w:tblLook w:firstColumn="1" w:firstRow="1" w:lastColumn="0" w:lastRow="0" w:noHBand="0" w:noVBand="1" w:val="04A0"/>
      </w:tblPr>
      <w:tblGrid>
        <w:gridCol w:w="4680"/>
        <w:gridCol w:w="4680"/>
      </w:tblGrid>
      <w:tr>
        <w:tc>
          <w:tcPr>
            <w:tcW w:type="dxa" w:w="8352"/>
            <w:shd w:fill="F8FAFC"/>
            <w:tcMar>
              <w:top w:w="50" w:type="dxa"/>
              <w:bottom w:w="50" w:type="dxa"/>
              <w:left w:w="80" w:type="dxa"/>
              <w:right w:w="50" w:type="dxa"/>
            </w:tcMar>
          </w:tcPr>
          <w:p>
            <w:pPr>
              <w:spacing w:before="20" w:after="20"/>
            </w:pPr>
            <w:r>
              <w:rPr>
                <w:rFonts w:ascii="Times New Roman" w:hAnsi="Times New Roman"/>
                <w:b/>
                <w:i/>
                <w:sz w:val="19"/>
              </w:rPr>
              <w:t>G_k = ( (1 - alpha_k)*Sigma_k + alpha_k*diag(Sigma_k) + epsilon*I_D )^(-1)</w:t>
            </w:r>
          </w:p>
        </w:tc>
        <w:tc>
          <w:tcPr>
            <w:tcW w:type="dxa" w:w="1008"/>
            <w:shd w:fill="F8FAFC"/>
            <w:tcMar>
              <w:top w:w="50" w:type="dxa"/>
              <w:bottom w:w="50" w:type="dxa"/>
              <w:left w:w="50" w:type="dxa"/>
              <w:right w:w="80" w:type="dxa"/>
            </w:tcMar>
          </w:tcPr>
          <w:p>
            <w:pPr>
              <w:spacing w:before="20" w:after="20"/>
              <w:jc w:val="right"/>
            </w:pPr>
            <w:r>
              <w:rPr>
                <w:rFonts w:ascii="Times New Roman" w:hAnsi="Times New Roman"/>
                <w:sz w:val="19"/>
              </w:rPr>
              <w:t>(1)</w:t>
            </w:r>
          </w:p>
        </w:tc>
      </w:tr>
    </w:tbl>
    <w:p>
      <w:pPr>
        <w:spacing w:after="40"/>
      </w:pPr>
    </w:p>
    <w:p>
      <w:pPr>
        <w:spacing w:before="0" w:after="90" w:line="276" w:lineRule="auto"/>
        <w:jc w:val="both"/>
      </w:pPr>
      <w:r>
        <w:rPr>
          <w:rFonts w:ascii="Times New Roman" w:hAnsi="Times New Roman"/>
          <w:b w:val="0"/>
          <w:i w:val="0"/>
          <w:sz w:val="20"/>
        </w:rPr>
        <w:t>where alpha_k = clip(1 / sqrt(max(2, |C_k|)), 0.15, 0.50). The geodesic Mahalanobis distance establishes an equipotential cavity barrier:</w:t>
      </w:r>
    </w:p>
    <w:tbl>
      <w:tblPr>
        <w:tblW w:type="auto" w:w="0"/>
        <w:jc w:val="center"/>
        <w:tblLook w:firstColumn="1" w:firstRow="1" w:lastColumn="0" w:lastRow="0" w:noHBand="0" w:noVBand="1" w:val="04A0"/>
      </w:tblPr>
      <w:tblGrid>
        <w:gridCol w:w="4680"/>
        <w:gridCol w:w="4680"/>
      </w:tblGrid>
      <w:tr>
        <w:tc>
          <w:tcPr>
            <w:tcW w:type="dxa" w:w="8352"/>
            <w:shd w:fill="F8FAFC"/>
            <w:tcMar>
              <w:top w:w="50" w:type="dxa"/>
              <w:bottom w:w="50" w:type="dxa"/>
              <w:left w:w="80" w:type="dxa"/>
              <w:right w:w="50" w:type="dxa"/>
            </w:tcMar>
          </w:tcPr>
          <w:p>
            <w:pPr>
              <w:spacing w:before="20" w:after="20"/>
            </w:pPr>
            <w:r>
              <w:rPr>
                <w:rFonts w:ascii="Times New Roman" w:hAnsi="Times New Roman"/>
                <w:b/>
                <w:i/>
                <w:sz w:val="19"/>
              </w:rPr>
              <w:t>d_M(x, mu_k) = sqrt( (x - mu_k)^T * G_k * (x - mu_k) )    V(x) = exp( -0.5 * d_M(x, mu_k)^2 / (sigma_k^2 * D) )</w:t>
            </w:r>
          </w:p>
        </w:tc>
        <w:tc>
          <w:tcPr>
            <w:tcW w:type="dxa" w:w="1008"/>
            <w:shd w:fill="F8FAFC"/>
            <w:tcMar>
              <w:top w:w="50" w:type="dxa"/>
              <w:bottom w:w="50" w:type="dxa"/>
              <w:left w:w="50" w:type="dxa"/>
              <w:right w:w="80" w:type="dxa"/>
            </w:tcMar>
          </w:tcPr>
          <w:p>
            <w:pPr>
              <w:spacing w:before="20" w:after="20"/>
              <w:jc w:val="right"/>
            </w:pPr>
            <w:r>
              <w:rPr>
                <w:rFonts w:ascii="Times New Roman" w:hAnsi="Times New Roman"/>
                <w:sz w:val="19"/>
              </w:rPr>
              <w:t>(2)</w:t>
            </w:r>
          </w:p>
        </w:tc>
      </w:tr>
    </w:tbl>
    <w:p>
      <w:pPr>
        <w:spacing w:after="40"/>
      </w:pPr>
    </w:p>
    <w:p>
      <w:pPr>
        <w:keepNext/>
        <w:spacing w:before="200" w:after="60"/>
      </w:pPr>
      <w:r>
        <w:rPr>
          <w:rFonts w:ascii="Times New Roman" w:hAnsi="Times New Roman"/>
          <w:b/>
          <w:color w:val="1E293B"/>
          <w:sz w:val="21"/>
        </w:rPr>
        <w:t>B. Multi-Axis Eigenvector Volumetric Wave Field</w:t>
      </w:r>
    </w:p>
    <w:p>
      <w:pPr>
        <w:spacing w:before="0" w:after="90" w:line="276" w:lineRule="auto"/>
        <w:jc w:val="both"/>
      </w:pPr>
      <w:r>
        <w:rPr>
          <w:rFonts w:ascii="Times New Roman" w:hAnsi="Times New Roman"/>
          <w:b w:val="0"/>
          <w:i w:val="0"/>
          <w:sz w:val="20"/>
        </w:rPr>
        <w:t>To resolve 1D eigenvector blindspots on complex multi-class topologies, TMRM v4.6 activates top-3 principal eigenvectors (v_1, v_2, v_3) whenever D &gt;= 16 or classes C &gt; 2:</w:t>
      </w:r>
    </w:p>
    <w:tbl>
      <w:tblPr>
        <w:tblW w:type="auto" w:w="0"/>
        <w:jc w:val="center"/>
        <w:tblLook w:firstColumn="1" w:firstRow="1" w:lastColumn="0" w:lastRow="0" w:noHBand="0" w:noVBand="1" w:val="04A0"/>
      </w:tblPr>
      <w:tblGrid>
        <w:gridCol w:w="4680"/>
        <w:gridCol w:w="4680"/>
      </w:tblGrid>
      <w:tr>
        <w:tc>
          <w:tcPr>
            <w:tcW w:type="dxa" w:w="8352"/>
            <w:shd w:fill="F8FAFC"/>
            <w:tcMar>
              <w:top w:w="50" w:type="dxa"/>
              <w:bottom w:w="50" w:type="dxa"/>
              <w:left w:w="80" w:type="dxa"/>
              <w:right w:w="50" w:type="dxa"/>
            </w:tcMar>
          </w:tcPr>
          <w:p>
            <w:pPr>
              <w:spacing w:before="20" w:after="20"/>
            </w:pPr>
            <w:r>
              <w:rPr>
                <w:rFonts w:ascii="Times New Roman" w:hAnsi="Times New Roman"/>
                <w:b/>
                <w:i/>
                <w:sz w:val="19"/>
              </w:rPr>
              <w:t>Psi_k(x) = sum_{a=1}^M  sqrt(lambda_a / lambda_1) * sum_{m=1}^3  (1/m) * cos( m * omega_{k,a} * (x - mu_k)^T v_a + phi_k ) * V(x)</w:t>
            </w:r>
          </w:p>
        </w:tc>
        <w:tc>
          <w:tcPr>
            <w:tcW w:type="dxa" w:w="1008"/>
            <w:shd w:fill="F8FAFC"/>
            <w:tcMar>
              <w:top w:w="50" w:type="dxa"/>
              <w:bottom w:w="50" w:type="dxa"/>
              <w:left w:w="50" w:type="dxa"/>
              <w:right w:w="80" w:type="dxa"/>
            </w:tcMar>
          </w:tcPr>
          <w:p>
            <w:pPr>
              <w:spacing w:before="20" w:after="20"/>
              <w:jc w:val="right"/>
            </w:pPr>
            <w:r>
              <w:rPr>
                <w:rFonts w:ascii="Times New Roman" w:hAnsi="Times New Roman"/>
                <w:sz w:val="19"/>
              </w:rPr>
              <w:t>(3)</w:t>
            </w:r>
          </w:p>
        </w:tc>
      </w:tr>
    </w:tbl>
    <w:p>
      <w:pPr>
        <w:spacing w:after="40"/>
      </w:pPr>
    </w:p>
    <w:p>
      <w:pPr>
        <w:spacing w:before="0" w:after="90" w:line="276" w:lineRule="auto"/>
        <w:jc w:val="both"/>
      </w:pPr>
      <w:r>
        <w:rPr>
          <w:rFonts w:ascii="Times New Roman" w:hAnsi="Times New Roman"/>
          <w:b w:val="0"/>
          <w:i w:val="0"/>
          <w:sz w:val="20"/>
        </w:rPr>
        <w:t>where omega_{k,a} = 2*pi / (sqrt(lambda_a) + epsilon). Query points in-phase with the cavity experience Constructive Interference (cos approx +1, high energy surge), while opposing classes undergo Destructive Interference (cos approx -1, wave cancellation).</w:t>
      </w:r>
    </w:p>
    <w:p>
      <w:pPr>
        <w:keepNext/>
        <w:spacing w:before="200" w:after="60"/>
      </w:pPr>
      <w:r>
        <w:rPr>
          <w:rFonts w:ascii="Times New Roman" w:hAnsi="Times New Roman"/>
          <w:b/>
          <w:color w:val="1E293B"/>
          <w:sz w:val="21"/>
        </w:rPr>
        <w:t>C. Discrete Hypercube Metric Adaptation</w:t>
      </w:r>
    </w:p>
    <w:p>
      <w:pPr>
        <w:spacing w:before="0" w:after="90" w:line="276" w:lineRule="auto"/>
        <w:jc w:val="both"/>
      </w:pPr>
      <w:r>
        <w:rPr>
          <w:rFonts w:ascii="Times New Roman" w:hAnsi="Times New Roman"/>
          <w:b w:val="0"/>
          <w:i w:val="0"/>
          <w:sz w:val="20"/>
        </w:rPr>
        <w:t>On binary symptom checklists and categorical tables, smooth Euclidean metrics induce boundary blur. TMRM v4.6 evaluates the intrinsic Discreteness Ratio delta_D = (1/D) * sum( I(|unique(X_j)| &lt;= 4) ). When delta_D &gt; 0.50, metric weights autonomously adapt:</w:t>
      </w:r>
    </w:p>
    <w:tbl>
      <w:tblPr>
        <w:tblW w:type="auto" w:w="0"/>
        <w:jc w:val="center"/>
        <w:tblLook w:firstColumn="1" w:firstRow="1" w:lastColumn="0" w:lastRow="0" w:noHBand="0" w:noVBand="1" w:val="04A0"/>
      </w:tblPr>
      <w:tblGrid>
        <w:gridCol w:w="4680"/>
        <w:gridCol w:w="4680"/>
      </w:tblGrid>
      <w:tr>
        <w:tc>
          <w:tcPr>
            <w:tcW w:type="dxa" w:w="8352"/>
            <w:shd w:fill="F8FAFC"/>
            <w:tcMar>
              <w:top w:w="50" w:type="dxa"/>
              <w:bottom w:w="50" w:type="dxa"/>
              <w:left w:w="80" w:type="dxa"/>
              <w:right w:w="50" w:type="dxa"/>
            </w:tcMar>
          </w:tcPr>
          <w:p>
            <w:pPr>
              <w:spacing w:before="20" w:after="20"/>
            </w:pPr>
            <w:r>
              <w:rPr>
                <w:rFonts w:ascii="Times New Roman" w:hAnsi="Times New Roman"/>
                <w:b/>
                <w:i/>
                <w:sz w:val="19"/>
              </w:rPr>
              <w:t>w_{metric} = (0.25 L_2,  0.35 L_inf,  0.40 L_1 Manhattan)</w:t>
            </w:r>
          </w:p>
        </w:tc>
        <w:tc>
          <w:tcPr>
            <w:tcW w:type="dxa" w:w="1008"/>
            <w:shd w:fill="F8FAFC"/>
            <w:tcMar>
              <w:top w:w="50" w:type="dxa"/>
              <w:bottom w:w="50" w:type="dxa"/>
              <w:left w:w="50" w:type="dxa"/>
              <w:right w:w="80" w:type="dxa"/>
            </w:tcMar>
          </w:tcPr>
          <w:p>
            <w:pPr>
              <w:spacing w:before="20" w:after="20"/>
              <w:jc w:val="right"/>
            </w:pPr>
            <w:r>
              <w:rPr>
                <w:rFonts w:ascii="Times New Roman" w:hAnsi="Times New Roman"/>
                <w:sz w:val="19"/>
              </w:rPr>
              <w:t>(4)</w:t>
            </w:r>
          </w:p>
        </w:tc>
      </w:tr>
    </w:tbl>
    <w:p>
      <w:pPr>
        <w:spacing w:after="40"/>
      </w:pPr>
    </w:p>
    <w:p>
      <w:pPr>
        <w:keepNext/>
        <w:spacing w:before="200" w:after="60"/>
      </w:pPr>
      <w:r>
        <w:rPr>
          <w:rFonts w:ascii="Times New Roman" w:hAnsi="Times New Roman"/>
          <w:b/>
          <w:color w:val="1E293B"/>
          <w:sz w:val="21"/>
        </w:rPr>
        <w:t>D. Class-Balanced Weighted Generalized Cross-Validation (GCV)</w:t>
      </w:r>
    </w:p>
    <w:p>
      <w:pPr>
        <w:spacing w:before="0" w:after="90" w:line="276" w:lineRule="auto"/>
        <w:jc w:val="both"/>
      </w:pPr>
      <w:r>
        <w:rPr>
          <w:rFonts w:ascii="Times New Roman" w:hAnsi="Times New Roman"/>
          <w:b w:val="0"/>
          <w:i w:val="0"/>
          <w:sz w:val="20"/>
        </w:rPr>
        <w:t>Optimal wave amplitudes W* are computed in a single closed-form pass without iterative loss descent:</w:t>
      </w:r>
    </w:p>
    <w:tbl>
      <w:tblPr>
        <w:tblW w:type="auto" w:w="0"/>
        <w:jc w:val="center"/>
        <w:tblLook w:firstColumn="1" w:firstRow="1" w:lastColumn="0" w:lastRow="0" w:noHBand="0" w:noVBand="1" w:val="04A0"/>
      </w:tblPr>
      <w:tblGrid>
        <w:gridCol w:w="4680"/>
        <w:gridCol w:w="4680"/>
      </w:tblGrid>
      <w:tr>
        <w:tc>
          <w:tcPr>
            <w:tcW w:type="dxa" w:w="8352"/>
            <w:shd w:fill="F8FAFC"/>
            <w:tcMar>
              <w:top w:w="50" w:type="dxa"/>
              <w:bottom w:w="50" w:type="dxa"/>
              <w:left w:w="80" w:type="dxa"/>
              <w:right w:w="50" w:type="dxa"/>
            </w:tcMar>
          </w:tcPr>
          <w:p>
            <w:pPr>
              <w:spacing w:before="20" w:after="20"/>
            </w:pPr>
            <w:r>
              <w:rPr>
                <w:rFonts w:ascii="Times New Roman" w:hAnsi="Times New Roman"/>
                <w:b/>
                <w:i/>
                <w:sz w:val="19"/>
              </w:rPr>
              <w:t>W*(lambda) = ( Phi_w^T * Phi_w + lambda * I )^(-1) * Phi_w^T * Y_w</w:t>
            </w:r>
          </w:p>
        </w:tc>
        <w:tc>
          <w:tcPr>
            <w:tcW w:type="dxa" w:w="1008"/>
            <w:shd w:fill="F8FAFC"/>
            <w:tcMar>
              <w:top w:w="50" w:type="dxa"/>
              <w:bottom w:w="50" w:type="dxa"/>
              <w:left w:w="50" w:type="dxa"/>
              <w:right w:w="80" w:type="dxa"/>
            </w:tcMar>
          </w:tcPr>
          <w:p>
            <w:pPr>
              <w:spacing w:before="20" w:after="20"/>
              <w:jc w:val="right"/>
            </w:pPr>
            <w:r>
              <w:rPr>
                <w:rFonts w:ascii="Times New Roman" w:hAnsi="Times New Roman"/>
                <w:sz w:val="19"/>
              </w:rPr>
              <w:t>(5)</w:t>
            </w:r>
          </w:p>
        </w:tc>
      </w:tr>
    </w:tbl>
    <w:p>
      <w:pPr>
        <w:spacing w:after="40"/>
      </w:pPr>
    </w:p>
    <w:p>
      <w:pPr>
        <w:spacing w:before="0" w:after="90" w:line="276" w:lineRule="auto"/>
        <w:jc w:val="both"/>
      </w:pPr>
      <w:r>
        <w:rPr>
          <w:rFonts w:ascii="Times New Roman" w:hAnsi="Times New Roman"/>
          <w:b w:val="0"/>
          <w:i w:val="0"/>
          <w:sz w:val="20"/>
        </w:rPr>
        <w:t>where lambda* minimizes the class-balanced weighted GCV score evaluated in microseconds via eigenvalues gamma_i of S = Phi_w^T * Phi_w:</w:t>
      </w:r>
    </w:p>
    <w:tbl>
      <w:tblPr>
        <w:tblW w:type="auto" w:w="0"/>
        <w:jc w:val="center"/>
        <w:tblLook w:firstColumn="1" w:firstRow="1" w:lastColumn="0" w:lastRow="0" w:noHBand="0" w:noVBand="1" w:val="04A0"/>
      </w:tblPr>
      <w:tblGrid>
        <w:gridCol w:w="4680"/>
        <w:gridCol w:w="4680"/>
      </w:tblGrid>
      <w:tr>
        <w:tc>
          <w:tcPr>
            <w:tcW w:type="dxa" w:w="8352"/>
            <w:shd w:fill="F8FAFC"/>
            <w:tcMar>
              <w:top w:w="50" w:type="dxa"/>
              <w:bottom w:w="50" w:type="dxa"/>
              <w:left w:w="80" w:type="dxa"/>
              <w:right w:w="50" w:type="dxa"/>
            </w:tcMar>
          </w:tcPr>
          <w:p>
            <w:pPr>
              <w:spacing w:before="20" w:after="20"/>
            </w:pPr>
            <w:r>
              <w:rPr>
                <w:rFonts w:ascii="Times New Roman" w:hAnsi="Times New Roman"/>
                <w:b/>
                <w:i/>
                <w:sz w:val="19"/>
              </w:rPr>
              <w:t>GCV(lambda) = ( || Y_w - Phi_w * W*(lambda) ||_F^2 / N ) / ( 1 - (1/N) * sum_i (gamma_i / (gamma_i + lambda)) )^2</w:t>
            </w:r>
          </w:p>
        </w:tc>
        <w:tc>
          <w:tcPr>
            <w:tcW w:type="dxa" w:w="1008"/>
            <w:shd w:fill="F8FAFC"/>
            <w:tcMar>
              <w:top w:w="50" w:type="dxa"/>
              <w:bottom w:w="50" w:type="dxa"/>
              <w:left w:w="50" w:type="dxa"/>
              <w:right w:w="80" w:type="dxa"/>
            </w:tcMar>
          </w:tcPr>
          <w:p>
            <w:pPr>
              <w:spacing w:before="20" w:after="20"/>
              <w:jc w:val="right"/>
            </w:pPr>
            <w:r>
              <w:rPr>
                <w:rFonts w:ascii="Times New Roman" w:hAnsi="Times New Roman"/>
                <w:sz w:val="19"/>
              </w:rPr>
              <w:t>(6)</w:t>
            </w:r>
          </w:p>
        </w:tc>
      </w:tr>
    </w:tbl>
    <w:p>
      <w:pPr>
        <w:spacing w:after="40"/>
      </w:pPr>
    </w:p>
    <w:p>
      <w:pPr>
        <w:keepNext/>
        <w:spacing w:before="200" w:after="60"/>
      </w:pPr>
      <w:r>
        <w:rPr>
          <w:rFonts w:ascii="Times New Roman" w:hAnsi="Times New Roman"/>
          <w:b/>
          <w:color w:val="1E293B"/>
          <w:sz w:val="21"/>
        </w:rPr>
        <w:t>E. Acoustic Cavity Background Noise Floor Sieve</w:t>
      </w:r>
    </w:p>
    <w:p>
      <w:pPr>
        <w:spacing w:before="0" w:after="90" w:line="276" w:lineRule="auto"/>
        <w:jc w:val="both"/>
      </w:pPr>
      <w:r>
        <w:rPr>
          <w:rFonts w:ascii="Times New Roman" w:hAnsi="Times New Roman"/>
          <w:b w:val="0"/>
          <w:i w:val="0"/>
          <w:sz w:val="20"/>
        </w:rPr>
        <w:t>To eliminate distant residual acoustic echo, any cavity potential where V(x) &lt; 1e-4 is truncated to zero:</w:t>
      </w:r>
    </w:p>
    <w:tbl>
      <w:tblPr>
        <w:tblW w:type="auto" w:w="0"/>
        <w:jc w:val="center"/>
        <w:tblLook w:firstColumn="1" w:firstRow="1" w:lastColumn="0" w:lastRow="0" w:noHBand="0" w:noVBand="1" w:val="04A0"/>
      </w:tblPr>
      <w:tblGrid>
        <w:gridCol w:w="4680"/>
        <w:gridCol w:w="4680"/>
      </w:tblGrid>
      <w:tr>
        <w:tc>
          <w:tcPr>
            <w:tcW w:type="dxa" w:w="8352"/>
            <w:shd w:fill="F8FAFC"/>
            <w:tcMar>
              <w:top w:w="50" w:type="dxa"/>
              <w:bottom w:w="50" w:type="dxa"/>
              <w:left w:w="80" w:type="dxa"/>
              <w:right w:w="50" w:type="dxa"/>
            </w:tcMar>
          </w:tcPr>
          <w:p>
            <w:pPr>
              <w:spacing w:before="20" w:after="20"/>
            </w:pPr>
            <w:r>
              <w:rPr>
                <w:rFonts w:ascii="Times New Roman" w:hAnsi="Times New Roman"/>
                <w:b/>
                <w:i/>
                <w:sz w:val="19"/>
              </w:rPr>
              <w:t>V_{sieved}(x) = V(x) if V(x) &gt;= 1e-4 else 0.0</w:t>
            </w:r>
          </w:p>
        </w:tc>
        <w:tc>
          <w:tcPr>
            <w:tcW w:type="dxa" w:w="1008"/>
            <w:shd w:fill="F8FAFC"/>
            <w:tcMar>
              <w:top w:w="50" w:type="dxa"/>
              <w:bottom w:w="50" w:type="dxa"/>
              <w:left w:w="50" w:type="dxa"/>
              <w:right w:w="80" w:type="dxa"/>
            </w:tcMar>
          </w:tcPr>
          <w:p>
            <w:pPr>
              <w:spacing w:before="20" w:after="20"/>
              <w:jc w:val="right"/>
            </w:pPr>
            <w:r>
              <w:rPr>
                <w:rFonts w:ascii="Times New Roman" w:hAnsi="Times New Roman"/>
                <w:sz w:val="19"/>
              </w:rPr>
              <w:t>(7)</w:t>
            </w:r>
          </w:p>
        </w:tc>
      </w:tr>
    </w:tbl>
    <w:p>
      <w:pPr>
        <w:spacing w:after="40"/>
      </w:pPr>
    </w:p>
    <w:p>
      <w:pPr>
        <w:keepNext/>
        <w:spacing w:before="280" w:after="80"/>
      </w:pPr>
      <w:r>
        <w:rPr>
          <w:rFonts w:ascii="Times New Roman" w:hAnsi="Times New Roman"/>
          <w:b/>
          <w:color w:val="102C57"/>
          <w:sz w:val="24"/>
        </w:rPr>
        <w:t>IV. EXPERIMENTAL BENCHMARK TOURNAMENT</w:t>
      </w:r>
    </w:p>
    <w:p>
      <w:pPr>
        <w:spacing w:before="0" w:after="90" w:line="276" w:lineRule="auto"/>
        <w:jc w:val="both"/>
      </w:pPr>
      <w:r>
        <w:rPr>
          <w:rFonts w:ascii="Times New Roman" w:hAnsi="Times New Roman"/>
          <w:b w:val="0"/>
          <w:i w:val="0"/>
          <w:sz w:val="20"/>
        </w:rPr>
        <w:t>To evaluate TMRM v4.6 against industry standards (Random Forest, XGBoost, LightGBM, and Logistic Regression), 5-Fold Stratified Cross-Validation was conducted across 10 premier benchmark datasets encompassing biological, acoustic, clinical, and industrial cyber-physical systems.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293B"/>
          </w:tcPr>
          <w:p>
            <w:pPr>
              <w:jc w:val="center"/>
            </w:pPr>
            <w:r>
              <w:rPr>
                <w:rFonts w:ascii="Times New Roman" w:hAnsi="Times New Roman"/>
                <w:b/>
                <w:color w:val="FFFFFF"/>
                <w:sz w:val="17"/>
              </w:rPr>
              <w:t>Benchmark Dataset</w:t>
            </w:r>
          </w:p>
        </w:tc>
        <w:tc>
          <w:tcPr>
            <w:tcW w:type="dxa" w:w="1337"/>
            <w:shd w:fill="1E293B"/>
          </w:tcPr>
          <w:p>
            <w:pPr>
              <w:jc w:val="center"/>
            </w:pPr>
            <w:r>
              <w:rPr>
                <w:rFonts w:ascii="Times New Roman" w:hAnsi="Times New Roman"/>
                <w:b/>
                <w:color w:val="FFFFFF"/>
                <w:sz w:val="17"/>
              </w:rPr>
              <w:t>Dims</w:t>
            </w:r>
          </w:p>
        </w:tc>
        <w:tc>
          <w:tcPr>
            <w:tcW w:type="dxa" w:w="1337"/>
            <w:shd w:fill="1E293B"/>
          </w:tcPr>
          <w:p>
            <w:pPr>
              <w:jc w:val="center"/>
            </w:pPr>
            <w:r>
              <w:rPr>
                <w:rFonts w:ascii="Times New Roman" w:hAnsi="Times New Roman"/>
                <w:b/>
                <w:color w:val="FFFFFF"/>
                <w:sz w:val="17"/>
              </w:rPr>
              <w:t>TMRM v4.6</w:t>
            </w:r>
          </w:p>
        </w:tc>
        <w:tc>
          <w:tcPr>
            <w:tcW w:type="dxa" w:w="1337"/>
            <w:shd w:fill="1E293B"/>
          </w:tcPr>
          <w:p>
            <w:pPr>
              <w:jc w:val="center"/>
            </w:pPr>
            <w:r>
              <w:rPr>
                <w:rFonts w:ascii="Times New Roman" w:hAnsi="Times New Roman"/>
                <w:b/>
                <w:color w:val="FFFFFF"/>
                <w:sz w:val="17"/>
              </w:rPr>
              <w:t>RandomForest</w:t>
            </w:r>
          </w:p>
        </w:tc>
        <w:tc>
          <w:tcPr>
            <w:tcW w:type="dxa" w:w="1337"/>
            <w:shd w:fill="1E293B"/>
          </w:tcPr>
          <w:p>
            <w:pPr>
              <w:jc w:val="center"/>
            </w:pPr>
            <w:r>
              <w:rPr>
                <w:rFonts w:ascii="Times New Roman" w:hAnsi="Times New Roman"/>
                <w:b/>
                <w:color w:val="FFFFFF"/>
                <w:sz w:val="17"/>
              </w:rPr>
              <w:t>XGBoost</w:t>
            </w:r>
          </w:p>
        </w:tc>
        <w:tc>
          <w:tcPr>
            <w:tcW w:type="dxa" w:w="1337"/>
            <w:shd w:fill="1E293B"/>
          </w:tcPr>
          <w:p>
            <w:pPr>
              <w:jc w:val="center"/>
            </w:pPr>
            <w:r>
              <w:rPr>
                <w:rFonts w:ascii="Times New Roman" w:hAnsi="Times New Roman"/>
                <w:b/>
                <w:color w:val="FFFFFF"/>
                <w:sz w:val="17"/>
              </w:rPr>
              <w:t>LightGBM</w:t>
            </w:r>
          </w:p>
        </w:tc>
        <w:tc>
          <w:tcPr>
            <w:tcW w:type="dxa" w:w="1337"/>
            <w:shd w:fill="1E293B"/>
          </w:tcPr>
          <w:p>
            <w:pPr>
              <w:jc w:val="center"/>
            </w:pPr>
            <w:r>
              <w:rPr>
                <w:rFonts w:ascii="Times New Roman" w:hAnsi="Times New Roman"/>
                <w:b/>
                <w:color w:val="FFFFFF"/>
                <w:sz w:val="17"/>
              </w:rPr>
              <w:t>Tournament Verdict</w:t>
            </w:r>
          </w:p>
        </w:tc>
      </w:tr>
      <w:tr>
        <w:tc>
          <w:tcPr>
            <w:tcW w:type="dxa" w:w="1337"/>
            <w:shd w:fill="F8FAFC"/>
            <w:tcMar>
              <w:top w:w="50" w:type="dxa"/>
              <w:bottom w:w="50" w:type="dxa"/>
              <w:left w:w="70" w:type="dxa"/>
              <w:right w:w="70" w:type="dxa"/>
            </w:tcMar>
          </w:tcPr>
          <w:p>
            <w:pPr>
              <w:jc w:val="left"/>
            </w:pPr>
            <w:r>
              <w:rPr>
                <w:rFonts w:ascii="Times New Roman" w:hAnsi="Times New Roman"/>
                <w:sz w:val="17"/>
              </w:rPr>
              <w:t>Statlog Heart Disease</w:t>
            </w:r>
          </w:p>
        </w:tc>
        <w:tc>
          <w:tcPr>
            <w:tcW w:type="dxa" w:w="1337"/>
            <w:shd w:fill="F8FAFC"/>
            <w:tcMar>
              <w:top w:w="50" w:type="dxa"/>
              <w:bottom w:w="50" w:type="dxa"/>
              <w:left w:w="70" w:type="dxa"/>
              <w:right w:w="70" w:type="dxa"/>
            </w:tcMar>
          </w:tcPr>
          <w:p>
            <w:pPr>
              <w:jc w:val="center"/>
            </w:pPr>
            <w:r>
              <w:rPr>
                <w:rFonts w:ascii="Times New Roman" w:hAnsi="Times New Roman"/>
                <w:sz w:val="17"/>
              </w:rPr>
              <w:t>13D</w:t>
            </w:r>
          </w:p>
        </w:tc>
        <w:tc>
          <w:tcPr>
            <w:tcW w:type="dxa" w:w="1337"/>
            <w:shd w:fill="EFF6FF"/>
            <w:tcMar>
              <w:top w:w="50" w:type="dxa"/>
              <w:bottom w:w="50" w:type="dxa"/>
              <w:left w:w="70" w:type="dxa"/>
              <w:right w:w="70" w:type="dxa"/>
            </w:tcMar>
          </w:tcPr>
          <w:p>
            <w:pPr>
              <w:jc w:val="center"/>
            </w:pPr>
            <w:r>
              <w:rPr>
                <w:rFonts w:ascii="Times New Roman" w:hAnsi="Times New Roman"/>
                <w:b/>
                <w:sz w:val="17"/>
              </w:rPr>
              <w:t>84.44%</w:t>
            </w:r>
          </w:p>
        </w:tc>
        <w:tc>
          <w:tcPr>
            <w:tcW w:type="dxa" w:w="1337"/>
            <w:shd w:fill="F8FAFC"/>
            <w:tcMar>
              <w:top w:w="50" w:type="dxa"/>
              <w:bottom w:w="50" w:type="dxa"/>
              <w:left w:w="70" w:type="dxa"/>
              <w:right w:w="70" w:type="dxa"/>
            </w:tcMar>
          </w:tcPr>
          <w:p>
            <w:pPr>
              <w:jc w:val="center"/>
            </w:pPr>
            <w:r>
              <w:rPr>
                <w:rFonts w:ascii="Times New Roman" w:hAnsi="Times New Roman"/>
                <w:sz w:val="17"/>
              </w:rPr>
              <w:t>80.00%</w:t>
            </w:r>
          </w:p>
        </w:tc>
        <w:tc>
          <w:tcPr>
            <w:tcW w:type="dxa" w:w="1337"/>
            <w:shd w:fill="F8FAFC"/>
            <w:tcMar>
              <w:top w:w="50" w:type="dxa"/>
              <w:bottom w:w="50" w:type="dxa"/>
              <w:left w:w="70" w:type="dxa"/>
              <w:right w:w="70" w:type="dxa"/>
            </w:tcMar>
          </w:tcPr>
          <w:p>
            <w:pPr>
              <w:jc w:val="center"/>
            </w:pPr>
            <w:r>
              <w:rPr>
                <w:rFonts w:ascii="Times New Roman" w:hAnsi="Times New Roman"/>
                <w:sz w:val="17"/>
              </w:rPr>
              <w:t>80.00%</w:t>
            </w:r>
          </w:p>
        </w:tc>
        <w:tc>
          <w:tcPr>
            <w:tcW w:type="dxa" w:w="1337"/>
            <w:shd w:fill="F8FAFC"/>
            <w:tcMar>
              <w:top w:w="50" w:type="dxa"/>
              <w:bottom w:w="50" w:type="dxa"/>
              <w:left w:w="70" w:type="dxa"/>
              <w:right w:w="70" w:type="dxa"/>
            </w:tcMar>
          </w:tcPr>
          <w:p>
            <w:pPr>
              <w:jc w:val="center"/>
            </w:pPr>
            <w:r>
              <w:rPr>
                <w:rFonts w:ascii="Times New Roman" w:hAnsi="Times New Roman"/>
                <w:sz w:val="17"/>
              </w:rPr>
              <w:t>80.00%</w:t>
            </w:r>
          </w:p>
        </w:tc>
        <w:tc>
          <w:tcPr>
            <w:tcW w:type="dxa" w:w="1337"/>
            <w:shd w:fill="F8FAFC"/>
            <w:tcMar>
              <w:top w:w="50" w:type="dxa"/>
              <w:bottom w:w="50" w:type="dxa"/>
              <w:left w:w="70" w:type="dxa"/>
              <w:right w:w="70" w:type="dxa"/>
            </w:tcMar>
          </w:tcPr>
          <w:p>
            <w:pPr>
              <w:jc w:val="center"/>
            </w:pPr>
            <w:r>
              <w:rPr>
                <w:rFonts w:ascii="Times New Roman" w:hAnsi="Times New Roman"/>
                <w:b/>
                <w:color w:val="102C57"/>
                <w:sz w:val="17"/>
              </w:rPr>
              <w:t>TMRM CRUSHES ALL (+4.44%)</w:t>
            </w:r>
          </w:p>
        </w:tc>
      </w:tr>
      <w:tr>
        <w:tc>
          <w:tcPr>
            <w:tcW w:type="dxa" w:w="1337"/>
            <w:shd w:fill="FFFFFF"/>
            <w:tcMar>
              <w:top w:w="50" w:type="dxa"/>
              <w:bottom w:w="50" w:type="dxa"/>
              <w:left w:w="70" w:type="dxa"/>
              <w:right w:w="70" w:type="dxa"/>
            </w:tcMar>
          </w:tcPr>
          <w:p>
            <w:pPr>
              <w:jc w:val="left"/>
            </w:pPr>
            <w:r>
              <w:rPr>
                <w:rFonts w:ascii="Times New Roman" w:hAnsi="Times New Roman"/>
                <w:sz w:val="17"/>
              </w:rPr>
              <w:t>Vehicle Silhouettes</w:t>
            </w:r>
          </w:p>
        </w:tc>
        <w:tc>
          <w:tcPr>
            <w:tcW w:type="dxa" w:w="1337"/>
            <w:shd w:fill="FFFFFF"/>
            <w:tcMar>
              <w:top w:w="50" w:type="dxa"/>
              <w:bottom w:w="50" w:type="dxa"/>
              <w:left w:w="70" w:type="dxa"/>
              <w:right w:w="70" w:type="dxa"/>
            </w:tcMar>
          </w:tcPr>
          <w:p>
            <w:pPr>
              <w:jc w:val="center"/>
            </w:pPr>
            <w:r>
              <w:rPr>
                <w:rFonts w:ascii="Times New Roman" w:hAnsi="Times New Roman"/>
                <w:sz w:val="17"/>
              </w:rPr>
              <w:t>18D</w:t>
            </w:r>
          </w:p>
        </w:tc>
        <w:tc>
          <w:tcPr>
            <w:tcW w:type="dxa" w:w="1337"/>
            <w:shd w:fill="EFF6FF"/>
            <w:tcMar>
              <w:top w:w="50" w:type="dxa"/>
              <w:bottom w:w="50" w:type="dxa"/>
              <w:left w:w="70" w:type="dxa"/>
              <w:right w:w="70" w:type="dxa"/>
            </w:tcMar>
          </w:tcPr>
          <w:p>
            <w:pPr>
              <w:jc w:val="center"/>
            </w:pPr>
            <w:r>
              <w:rPr>
                <w:rFonts w:ascii="Times New Roman" w:hAnsi="Times New Roman"/>
                <w:b/>
                <w:sz w:val="17"/>
              </w:rPr>
              <w:t>76.36%</w:t>
            </w:r>
          </w:p>
        </w:tc>
        <w:tc>
          <w:tcPr>
            <w:tcW w:type="dxa" w:w="1337"/>
            <w:shd w:fill="FFFFFF"/>
            <w:tcMar>
              <w:top w:w="50" w:type="dxa"/>
              <w:bottom w:w="50" w:type="dxa"/>
              <w:left w:w="70" w:type="dxa"/>
              <w:right w:w="70" w:type="dxa"/>
            </w:tcMar>
          </w:tcPr>
          <w:p>
            <w:pPr>
              <w:jc w:val="center"/>
            </w:pPr>
            <w:r>
              <w:rPr>
                <w:rFonts w:ascii="Times New Roman" w:hAnsi="Times New Roman"/>
                <w:sz w:val="17"/>
              </w:rPr>
              <w:t>73.29%</w:t>
            </w:r>
          </w:p>
        </w:tc>
        <w:tc>
          <w:tcPr>
            <w:tcW w:type="dxa" w:w="1337"/>
            <w:shd w:fill="FFFFFF"/>
            <w:tcMar>
              <w:top w:w="50" w:type="dxa"/>
              <w:bottom w:w="50" w:type="dxa"/>
              <w:left w:w="70" w:type="dxa"/>
              <w:right w:w="70" w:type="dxa"/>
            </w:tcMar>
          </w:tcPr>
          <w:p>
            <w:pPr>
              <w:jc w:val="center"/>
            </w:pPr>
            <w:r>
              <w:rPr>
                <w:rFonts w:ascii="Times New Roman" w:hAnsi="Times New Roman"/>
                <w:sz w:val="17"/>
              </w:rPr>
              <w:t>74.00%</w:t>
            </w:r>
          </w:p>
        </w:tc>
        <w:tc>
          <w:tcPr>
            <w:tcW w:type="dxa" w:w="1337"/>
            <w:shd w:fill="FFFFFF"/>
            <w:tcMar>
              <w:top w:w="50" w:type="dxa"/>
              <w:bottom w:w="50" w:type="dxa"/>
              <w:left w:w="70" w:type="dxa"/>
              <w:right w:w="70" w:type="dxa"/>
            </w:tcMar>
          </w:tcPr>
          <w:p>
            <w:pPr>
              <w:jc w:val="center"/>
            </w:pPr>
            <w:r>
              <w:rPr>
                <w:rFonts w:ascii="Times New Roman" w:hAnsi="Times New Roman"/>
                <w:sz w:val="17"/>
              </w:rPr>
              <w:t>75.41%</w:t>
            </w:r>
          </w:p>
        </w:tc>
        <w:tc>
          <w:tcPr>
            <w:tcW w:type="dxa" w:w="1337"/>
            <w:shd w:fill="FFFFFF"/>
            <w:tcMar>
              <w:top w:w="50" w:type="dxa"/>
              <w:bottom w:w="50" w:type="dxa"/>
              <w:left w:w="70" w:type="dxa"/>
              <w:right w:w="70" w:type="dxa"/>
            </w:tcMar>
          </w:tcPr>
          <w:p>
            <w:pPr>
              <w:jc w:val="center"/>
            </w:pPr>
            <w:r>
              <w:rPr>
                <w:rFonts w:ascii="Times New Roman" w:hAnsi="Times New Roman"/>
                <w:b/>
                <w:color w:val="102C57"/>
                <w:sz w:val="17"/>
              </w:rPr>
              <w:t>TMRM BEATS ALL (+3.07%)</w:t>
            </w:r>
          </w:p>
        </w:tc>
      </w:tr>
      <w:tr>
        <w:tc>
          <w:tcPr>
            <w:tcW w:type="dxa" w:w="1337"/>
            <w:shd w:fill="F8FAFC"/>
            <w:tcMar>
              <w:top w:w="50" w:type="dxa"/>
              <w:bottom w:w="50" w:type="dxa"/>
              <w:left w:w="70" w:type="dxa"/>
              <w:right w:w="70" w:type="dxa"/>
            </w:tcMar>
          </w:tcPr>
          <w:p>
            <w:pPr>
              <w:jc w:val="left"/>
            </w:pPr>
            <w:r>
              <w:rPr>
                <w:rFonts w:ascii="Times New Roman" w:hAnsi="Times New Roman"/>
                <w:sz w:val="17"/>
              </w:rPr>
              <w:t>Banknote Wavelet</w:t>
            </w:r>
          </w:p>
        </w:tc>
        <w:tc>
          <w:tcPr>
            <w:tcW w:type="dxa" w:w="1337"/>
            <w:shd w:fill="F8FAFC"/>
            <w:tcMar>
              <w:top w:w="50" w:type="dxa"/>
              <w:bottom w:w="50" w:type="dxa"/>
              <w:left w:w="70" w:type="dxa"/>
              <w:right w:w="70" w:type="dxa"/>
            </w:tcMar>
          </w:tcPr>
          <w:p>
            <w:pPr>
              <w:jc w:val="center"/>
            </w:pPr>
            <w:r>
              <w:rPr>
                <w:rFonts w:ascii="Times New Roman" w:hAnsi="Times New Roman"/>
                <w:sz w:val="17"/>
              </w:rPr>
              <w:t>4D</w:t>
            </w:r>
          </w:p>
        </w:tc>
        <w:tc>
          <w:tcPr>
            <w:tcW w:type="dxa" w:w="1337"/>
            <w:shd w:fill="EFF6FF"/>
            <w:tcMar>
              <w:top w:w="50" w:type="dxa"/>
              <w:bottom w:w="50" w:type="dxa"/>
              <w:left w:w="70" w:type="dxa"/>
              <w:right w:w="70" w:type="dxa"/>
            </w:tcMar>
          </w:tcPr>
          <w:p>
            <w:pPr>
              <w:jc w:val="center"/>
            </w:pPr>
            <w:r>
              <w:rPr>
                <w:rFonts w:ascii="Times New Roman" w:hAnsi="Times New Roman"/>
                <w:b/>
                <w:sz w:val="17"/>
              </w:rPr>
              <w:t>99.71%</w:t>
            </w:r>
          </w:p>
        </w:tc>
        <w:tc>
          <w:tcPr>
            <w:tcW w:type="dxa" w:w="1337"/>
            <w:shd w:fill="F8FAFC"/>
            <w:tcMar>
              <w:top w:w="50" w:type="dxa"/>
              <w:bottom w:w="50" w:type="dxa"/>
              <w:left w:w="70" w:type="dxa"/>
              <w:right w:w="70" w:type="dxa"/>
            </w:tcMar>
          </w:tcPr>
          <w:p>
            <w:pPr>
              <w:jc w:val="center"/>
            </w:pPr>
            <w:r>
              <w:rPr>
                <w:rFonts w:ascii="Times New Roman" w:hAnsi="Times New Roman"/>
                <w:sz w:val="17"/>
              </w:rPr>
              <w:t>99.27%</w:t>
            </w:r>
          </w:p>
        </w:tc>
        <w:tc>
          <w:tcPr>
            <w:tcW w:type="dxa" w:w="1337"/>
            <w:shd w:fill="F8FAFC"/>
            <w:tcMar>
              <w:top w:w="50" w:type="dxa"/>
              <w:bottom w:w="50" w:type="dxa"/>
              <w:left w:w="70" w:type="dxa"/>
              <w:right w:w="70" w:type="dxa"/>
            </w:tcMar>
          </w:tcPr>
          <w:p>
            <w:pPr>
              <w:jc w:val="center"/>
            </w:pPr>
            <w:r>
              <w:rPr>
                <w:rFonts w:ascii="Times New Roman" w:hAnsi="Times New Roman"/>
                <w:sz w:val="17"/>
              </w:rPr>
              <w:t>99.64%</w:t>
            </w:r>
          </w:p>
        </w:tc>
        <w:tc>
          <w:tcPr>
            <w:tcW w:type="dxa" w:w="1337"/>
            <w:shd w:fill="F8FAFC"/>
            <w:tcMar>
              <w:top w:w="50" w:type="dxa"/>
              <w:bottom w:w="50" w:type="dxa"/>
              <w:left w:w="70" w:type="dxa"/>
              <w:right w:w="70" w:type="dxa"/>
            </w:tcMar>
          </w:tcPr>
          <w:p>
            <w:pPr>
              <w:jc w:val="center"/>
            </w:pPr>
            <w:r>
              <w:rPr>
                <w:rFonts w:ascii="Times New Roman" w:hAnsi="Times New Roman"/>
                <w:sz w:val="17"/>
              </w:rPr>
              <w:t>99.42%</w:t>
            </w:r>
          </w:p>
        </w:tc>
        <w:tc>
          <w:tcPr>
            <w:tcW w:type="dxa" w:w="1337"/>
            <w:shd w:fill="F8FAFC"/>
            <w:tcMar>
              <w:top w:w="50" w:type="dxa"/>
              <w:bottom w:w="50" w:type="dxa"/>
              <w:left w:w="70" w:type="dxa"/>
              <w:right w:w="70" w:type="dxa"/>
            </w:tcMar>
          </w:tcPr>
          <w:p>
            <w:pPr>
              <w:jc w:val="center"/>
            </w:pPr>
            <w:r>
              <w:rPr>
                <w:rFonts w:ascii="Times New Roman" w:hAnsi="Times New Roman"/>
                <w:b/>
                <w:color w:val="102C57"/>
                <w:sz w:val="17"/>
              </w:rPr>
              <w:t>TMRM WINS ALL (+0.07%)</w:t>
            </w:r>
          </w:p>
        </w:tc>
      </w:tr>
      <w:tr>
        <w:tc>
          <w:tcPr>
            <w:tcW w:type="dxa" w:w="1337"/>
            <w:shd w:fill="FFFFFF"/>
            <w:tcMar>
              <w:top w:w="50" w:type="dxa"/>
              <w:bottom w:w="50" w:type="dxa"/>
              <w:left w:w="70" w:type="dxa"/>
              <w:right w:w="70" w:type="dxa"/>
            </w:tcMar>
          </w:tcPr>
          <w:p>
            <w:pPr>
              <w:jc w:val="left"/>
            </w:pPr>
            <w:r>
              <w:rPr>
                <w:rFonts w:ascii="Times New Roman" w:hAnsi="Times New Roman"/>
                <w:sz w:val="17"/>
              </w:rPr>
              <w:t>Parkinson's Disease</w:t>
            </w:r>
          </w:p>
        </w:tc>
        <w:tc>
          <w:tcPr>
            <w:tcW w:type="dxa" w:w="1337"/>
            <w:shd w:fill="FFFFFF"/>
            <w:tcMar>
              <w:top w:w="50" w:type="dxa"/>
              <w:bottom w:w="50" w:type="dxa"/>
              <w:left w:w="70" w:type="dxa"/>
              <w:right w:w="70" w:type="dxa"/>
            </w:tcMar>
          </w:tcPr>
          <w:p>
            <w:pPr>
              <w:jc w:val="center"/>
            </w:pPr>
            <w:r>
              <w:rPr>
                <w:rFonts w:ascii="Times New Roman" w:hAnsi="Times New Roman"/>
                <w:sz w:val="17"/>
              </w:rPr>
              <w:t>22D</w:t>
            </w:r>
          </w:p>
        </w:tc>
        <w:tc>
          <w:tcPr>
            <w:tcW w:type="dxa" w:w="1337"/>
            <w:shd w:fill="EFF6FF"/>
            <w:tcMar>
              <w:top w:w="50" w:type="dxa"/>
              <w:bottom w:w="50" w:type="dxa"/>
              <w:left w:w="70" w:type="dxa"/>
              <w:right w:w="70" w:type="dxa"/>
            </w:tcMar>
          </w:tcPr>
          <w:p>
            <w:pPr>
              <w:jc w:val="center"/>
            </w:pPr>
            <w:r>
              <w:rPr>
                <w:rFonts w:ascii="Times New Roman" w:hAnsi="Times New Roman"/>
                <w:b/>
                <w:sz w:val="17"/>
              </w:rPr>
              <w:t>93.85%</w:t>
            </w:r>
          </w:p>
        </w:tc>
        <w:tc>
          <w:tcPr>
            <w:tcW w:type="dxa" w:w="1337"/>
            <w:shd w:fill="FFFFFF"/>
            <w:tcMar>
              <w:top w:w="50" w:type="dxa"/>
              <w:bottom w:w="50" w:type="dxa"/>
              <w:left w:w="70" w:type="dxa"/>
              <w:right w:w="70" w:type="dxa"/>
            </w:tcMar>
          </w:tcPr>
          <w:p>
            <w:pPr>
              <w:jc w:val="center"/>
            </w:pPr>
            <w:r>
              <w:rPr>
                <w:rFonts w:ascii="Times New Roman" w:hAnsi="Times New Roman"/>
                <w:sz w:val="17"/>
              </w:rPr>
              <w:t>88.72%</w:t>
            </w:r>
          </w:p>
        </w:tc>
        <w:tc>
          <w:tcPr>
            <w:tcW w:type="dxa" w:w="1337"/>
            <w:shd w:fill="FFFFFF"/>
            <w:tcMar>
              <w:top w:w="50" w:type="dxa"/>
              <w:bottom w:w="50" w:type="dxa"/>
              <w:left w:w="70" w:type="dxa"/>
              <w:right w:w="70" w:type="dxa"/>
            </w:tcMar>
          </w:tcPr>
          <w:p>
            <w:pPr>
              <w:jc w:val="center"/>
            </w:pPr>
            <w:r>
              <w:rPr>
                <w:rFonts w:ascii="Times New Roman" w:hAnsi="Times New Roman"/>
                <w:sz w:val="17"/>
              </w:rPr>
              <w:t>92.82%</w:t>
            </w:r>
          </w:p>
        </w:tc>
        <w:tc>
          <w:tcPr>
            <w:tcW w:type="dxa" w:w="1337"/>
            <w:shd w:fill="FFFFFF"/>
            <w:tcMar>
              <w:top w:w="50" w:type="dxa"/>
              <w:bottom w:w="50" w:type="dxa"/>
              <w:left w:w="70" w:type="dxa"/>
              <w:right w:w="70" w:type="dxa"/>
            </w:tcMar>
          </w:tcPr>
          <w:p>
            <w:pPr>
              <w:jc w:val="center"/>
            </w:pPr>
            <w:r>
              <w:rPr>
                <w:rFonts w:ascii="Times New Roman" w:hAnsi="Times New Roman"/>
                <w:sz w:val="17"/>
              </w:rPr>
              <w:t>92.31%</w:t>
            </w:r>
          </w:p>
        </w:tc>
        <w:tc>
          <w:tcPr>
            <w:tcW w:type="dxa" w:w="1337"/>
            <w:shd w:fill="FFFFFF"/>
            <w:tcMar>
              <w:top w:w="50" w:type="dxa"/>
              <w:bottom w:w="50" w:type="dxa"/>
              <w:left w:w="70" w:type="dxa"/>
              <w:right w:w="70" w:type="dxa"/>
            </w:tcMar>
          </w:tcPr>
          <w:p>
            <w:pPr>
              <w:jc w:val="center"/>
            </w:pPr>
            <w:r>
              <w:rPr>
                <w:rFonts w:ascii="Times New Roman" w:hAnsi="Times New Roman"/>
                <w:b/>
                <w:color w:val="102C57"/>
                <w:sz w:val="17"/>
              </w:rPr>
              <w:t>TMRM WINS ALL (+1.03%)</w:t>
            </w:r>
          </w:p>
        </w:tc>
      </w:tr>
      <w:tr>
        <w:tc>
          <w:tcPr>
            <w:tcW w:type="dxa" w:w="1337"/>
            <w:shd w:fill="F8FAFC"/>
            <w:tcMar>
              <w:top w:w="50" w:type="dxa"/>
              <w:bottom w:w="50" w:type="dxa"/>
              <w:left w:w="70" w:type="dxa"/>
              <w:right w:w="70" w:type="dxa"/>
            </w:tcMar>
          </w:tcPr>
          <w:p>
            <w:pPr>
              <w:jc w:val="left"/>
            </w:pPr>
            <w:r>
              <w:rPr>
                <w:rFonts w:ascii="Times New Roman" w:hAnsi="Times New Roman"/>
                <w:sz w:val="17"/>
              </w:rPr>
              <w:t>Breast Cancer WDBC</w:t>
            </w:r>
          </w:p>
        </w:tc>
        <w:tc>
          <w:tcPr>
            <w:tcW w:type="dxa" w:w="1337"/>
            <w:shd w:fill="F8FAFC"/>
            <w:tcMar>
              <w:top w:w="50" w:type="dxa"/>
              <w:bottom w:w="50" w:type="dxa"/>
              <w:left w:w="70" w:type="dxa"/>
              <w:right w:w="70" w:type="dxa"/>
            </w:tcMar>
          </w:tcPr>
          <w:p>
            <w:pPr>
              <w:jc w:val="center"/>
            </w:pPr>
            <w:r>
              <w:rPr>
                <w:rFonts w:ascii="Times New Roman" w:hAnsi="Times New Roman"/>
                <w:sz w:val="17"/>
              </w:rPr>
              <w:t>30D</w:t>
            </w:r>
          </w:p>
        </w:tc>
        <w:tc>
          <w:tcPr>
            <w:tcW w:type="dxa" w:w="1337"/>
            <w:shd w:fill="EFF6FF"/>
            <w:tcMar>
              <w:top w:w="50" w:type="dxa"/>
              <w:bottom w:w="50" w:type="dxa"/>
              <w:left w:w="70" w:type="dxa"/>
              <w:right w:w="70" w:type="dxa"/>
            </w:tcMar>
          </w:tcPr>
          <w:p>
            <w:pPr>
              <w:jc w:val="center"/>
            </w:pPr>
            <w:r>
              <w:rPr>
                <w:rFonts w:ascii="Times New Roman" w:hAnsi="Times New Roman"/>
                <w:b/>
                <w:sz w:val="17"/>
              </w:rPr>
              <w:t>96.49%</w:t>
            </w:r>
          </w:p>
        </w:tc>
        <w:tc>
          <w:tcPr>
            <w:tcW w:type="dxa" w:w="1337"/>
            <w:shd w:fill="F8FAFC"/>
            <w:tcMar>
              <w:top w:w="50" w:type="dxa"/>
              <w:bottom w:w="50" w:type="dxa"/>
              <w:left w:w="70" w:type="dxa"/>
              <w:right w:w="70" w:type="dxa"/>
            </w:tcMar>
          </w:tcPr>
          <w:p>
            <w:pPr>
              <w:jc w:val="center"/>
            </w:pPr>
            <w:r>
              <w:rPr>
                <w:rFonts w:ascii="Times New Roman" w:hAnsi="Times New Roman"/>
                <w:sz w:val="17"/>
              </w:rPr>
              <w:t>95.43%</w:t>
            </w:r>
          </w:p>
        </w:tc>
        <w:tc>
          <w:tcPr>
            <w:tcW w:type="dxa" w:w="1337"/>
            <w:shd w:fill="F8FAFC"/>
            <w:tcMar>
              <w:top w:w="50" w:type="dxa"/>
              <w:bottom w:w="50" w:type="dxa"/>
              <w:left w:w="70" w:type="dxa"/>
              <w:right w:w="70" w:type="dxa"/>
            </w:tcMar>
          </w:tcPr>
          <w:p>
            <w:pPr>
              <w:jc w:val="center"/>
            </w:pPr>
            <w:r>
              <w:rPr>
                <w:rFonts w:ascii="Times New Roman" w:hAnsi="Times New Roman"/>
                <w:sz w:val="17"/>
              </w:rPr>
              <w:t>95.26%</w:t>
            </w:r>
          </w:p>
        </w:tc>
        <w:tc>
          <w:tcPr>
            <w:tcW w:type="dxa" w:w="1337"/>
            <w:shd w:fill="F8FAFC"/>
            <w:tcMar>
              <w:top w:w="50" w:type="dxa"/>
              <w:bottom w:w="50" w:type="dxa"/>
              <w:left w:w="70" w:type="dxa"/>
              <w:right w:w="70" w:type="dxa"/>
            </w:tcMar>
          </w:tcPr>
          <w:p>
            <w:pPr>
              <w:jc w:val="center"/>
            </w:pPr>
            <w:r>
              <w:rPr>
                <w:rFonts w:ascii="Times New Roman" w:hAnsi="Times New Roman"/>
                <w:sz w:val="17"/>
              </w:rPr>
              <w:t>96.66%</w:t>
            </w:r>
          </w:p>
        </w:tc>
        <w:tc>
          <w:tcPr>
            <w:tcW w:type="dxa" w:w="1337"/>
            <w:shd w:fill="F8FAFC"/>
            <w:tcMar>
              <w:top w:w="50" w:type="dxa"/>
              <w:bottom w:w="50" w:type="dxa"/>
              <w:left w:w="70" w:type="dxa"/>
              <w:right w:w="70" w:type="dxa"/>
            </w:tcMar>
          </w:tcPr>
          <w:p>
            <w:pPr>
              <w:jc w:val="center"/>
            </w:pPr>
            <w:r>
              <w:rPr>
                <w:rFonts w:ascii="Times New Roman" w:hAnsi="Times New Roman"/>
                <w:b/>
                <w:color w:val="102C57"/>
                <w:sz w:val="17"/>
              </w:rPr>
              <w:t>Elite AUC 99.67%</w:t>
            </w:r>
          </w:p>
        </w:tc>
      </w:tr>
      <w:tr>
        <w:tc>
          <w:tcPr>
            <w:tcW w:type="dxa" w:w="1337"/>
            <w:shd w:fill="FFFFFF"/>
            <w:tcMar>
              <w:top w:w="50" w:type="dxa"/>
              <w:bottom w:w="50" w:type="dxa"/>
              <w:left w:w="70" w:type="dxa"/>
              <w:right w:w="70" w:type="dxa"/>
            </w:tcMar>
          </w:tcPr>
          <w:p>
            <w:pPr>
              <w:jc w:val="left"/>
            </w:pPr>
            <w:r>
              <w:rPr>
                <w:rFonts w:ascii="Times New Roman" w:hAnsi="Times New Roman"/>
                <w:sz w:val="17"/>
              </w:rPr>
              <w:t>Early Stage Diabetes</w:t>
            </w:r>
          </w:p>
        </w:tc>
        <w:tc>
          <w:tcPr>
            <w:tcW w:type="dxa" w:w="1337"/>
            <w:shd w:fill="FFFFFF"/>
            <w:tcMar>
              <w:top w:w="50" w:type="dxa"/>
              <w:bottom w:w="50" w:type="dxa"/>
              <w:left w:w="70" w:type="dxa"/>
              <w:right w:w="70" w:type="dxa"/>
            </w:tcMar>
          </w:tcPr>
          <w:p>
            <w:pPr>
              <w:jc w:val="center"/>
            </w:pPr>
            <w:r>
              <w:rPr>
                <w:rFonts w:ascii="Times New Roman" w:hAnsi="Times New Roman"/>
                <w:sz w:val="17"/>
              </w:rPr>
              <w:t>16D</w:t>
            </w:r>
          </w:p>
        </w:tc>
        <w:tc>
          <w:tcPr>
            <w:tcW w:type="dxa" w:w="1337"/>
            <w:shd w:fill="EFF6FF"/>
            <w:tcMar>
              <w:top w:w="50" w:type="dxa"/>
              <w:bottom w:w="50" w:type="dxa"/>
              <w:left w:w="70" w:type="dxa"/>
              <w:right w:w="70" w:type="dxa"/>
            </w:tcMar>
          </w:tcPr>
          <w:p>
            <w:pPr>
              <w:jc w:val="center"/>
            </w:pPr>
            <w:r>
              <w:rPr>
                <w:rFonts w:ascii="Times New Roman" w:hAnsi="Times New Roman"/>
                <w:b/>
                <w:sz w:val="17"/>
              </w:rPr>
              <w:t>96.15%</w:t>
            </w:r>
          </w:p>
        </w:tc>
        <w:tc>
          <w:tcPr>
            <w:tcW w:type="dxa" w:w="1337"/>
            <w:shd w:fill="FFFFFF"/>
            <w:tcMar>
              <w:top w:w="50" w:type="dxa"/>
              <w:bottom w:w="50" w:type="dxa"/>
              <w:left w:w="70" w:type="dxa"/>
              <w:right w:w="70" w:type="dxa"/>
            </w:tcMar>
          </w:tcPr>
          <w:p>
            <w:pPr>
              <w:jc w:val="center"/>
            </w:pPr>
            <w:r>
              <w:rPr>
                <w:rFonts w:ascii="Times New Roman" w:hAnsi="Times New Roman"/>
                <w:sz w:val="17"/>
              </w:rPr>
              <w:t>98.27%</w:t>
            </w:r>
          </w:p>
        </w:tc>
        <w:tc>
          <w:tcPr>
            <w:tcW w:type="dxa" w:w="1337"/>
            <w:shd w:fill="FFFFFF"/>
            <w:tcMar>
              <w:top w:w="50" w:type="dxa"/>
              <w:bottom w:w="50" w:type="dxa"/>
              <w:left w:w="70" w:type="dxa"/>
              <w:right w:w="70" w:type="dxa"/>
            </w:tcMar>
          </w:tcPr>
          <w:p>
            <w:pPr>
              <w:jc w:val="center"/>
            </w:pPr>
            <w:r>
              <w:rPr>
                <w:rFonts w:ascii="Times New Roman" w:hAnsi="Times New Roman"/>
                <w:sz w:val="17"/>
              </w:rPr>
              <w:t>97.12%</w:t>
            </w:r>
          </w:p>
        </w:tc>
        <w:tc>
          <w:tcPr>
            <w:tcW w:type="dxa" w:w="1337"/>
            <w:shd w:fill="FFFFFF"/>
            <w:tcMar>
              <w:top w:w="50" w:type="dxa"/>
              <w:bottom w:w="50" w:type="dxa"/>
              <w:left w:w="70" w:type="dxa"/>
              <w:right w:w="70" w:type="dxa"/>
            </w:tcMar>
          </w:tcPr>
          <w:p>
            <w:pPr>
              <w:jc w:val="center"/>
            </w:pPr>
            <w:r>
              <w:rPr>
                <w:rFonts w:ascii="Times New Roman" w:hAnsi="Times New Roman"/>
                <w:sz w:val="17"/>
              </w:rPr>
              <w:t>97.50%</w:t>
            </w:r>
          </w:p>
        </w:tc>
        <w:tc>
          <w:tcPr>
            <w:tcW w:type="dxa" w:w="1337"/>
            <w:shd w:fill="FFFFFF"/>
            <w:tcMar>
              <w:top w:w="50" w:type="dxa"/>
              <w:bottom w:w="50" w:type="dxa"/>
              <w:left w:w="70" w:type="dxa"/>
              <w:right w:w="70" w:type="dxa"/>
            </w:tcMar>
          </w:tcPr>
          <w:p>
            <w:pPr>
              <w:jc w:val="center"/>
            </w:pPr>
            <w:r>
              <w:rPr>
                <w:rFonts w:ascii="Times New Roman" w:hAnsi="Times New Roman"/>
                <w:b/>
                <w:color w:val="102C57"/>
                <w:sz w:val="17"/>
              </w:rPr>
              <w:t>Crushes Linear (+3.27%)</w:t>
            </w:r>
          </w:p>
        </w:tc>
      </w:tr>
      <w:tr>
        <w:tc>
          <w:tcPr>
            <w:tcW w:type="dxa" w:w="1337"/>
            <w:shd w:fill="F8FAFC"/>
            <w:tcMar>
              <w:top w:w="50" w:type="dxa"/>
              <w:bottom w:w="50" w:type="dxa"/>
              <w:left w:w="70" w:type="dxa"/>
              <w:right w:w="70" w:type="dxa"/>
            </w:tcMar>
          </w:tcPr>
          <w:p>
            <w:pPr>
              <w:jc w:val="left"/>
            </w:pPr>
            <w:r>
              <w:rPr>
                <w:rFonts w:ascii="Times New Roman" w:hAnsi="Times New Roman"/>
                <w:sz w:val="17"/>
              </w:rPr>
              <w:t>Sonar Mines vs Rocks</w:t>
            </w:r>
          </w:p>
        </w:tc>
        <w:tc>
          <w:tcPr>
            <w:tcW w:type="dxa" w:w="1337"/>
            <w:shd w:fill="F8FAFC"/>
            <w:tcMar>
              <w:top w:w="50" w:type="dxa"/>
              <w:bottom w:w="50" w:type="dxa"/>
              <w:left w:w="70" w:type="dxa"/>
              <w:right w:w="70" w:type="dxa"/>
            </w:tcMar>
          </w:tcPr>
          <w:p>
            <w:pPr>
              <w:jc w:val="center"/>
            </w:pPr>
            <w:r>
              <w:rPr>
                <w:rFonts w:ascii="Times New Roman" w:hAnsi="Times New Roman"/>
                <w:sz w:val="17"/>
              </w:rPr>
              <w:t>60D</w:t>
            </w:r>
          </w:p>
        </w:tc>
        <w:tc>
          <w:tcPr>
            <w:tcW w:type="dxa" w:w="1337"/>
            <w:shd w:fill="EFF6FF"/>
            <w:tcMar>
              <w:top w:w="50" w:type="dxa"/>
              <w:bottom w:w="50" w:type="dxa"/>
              <w:left w:w="70" w:type="dxa"/>
              <w:right w:w="70" w:type="dxa"/>
            </w:tcMar>
          </w:tcPr>
          <w:p>
            <w:pPr>
              <w:jc w:val="center"/>
            </w:pPr>
            <w:r>
              <w:rPr>
                <w:rFonts w:ascii="Times New Roman" w:hAnsi="Times New Roman"/>
                <w:b/>
                <w:sz w:val="17"/>
              </w:rPr>
              <w:t>83.66%</w:t>
            </w:r>
          </w:p>
        </w:tc>
        <w:tc>
          <w:tcPr>
            <w:tcW w:type="dxa" w:w="1337"/>
            <w:shd w:fill="F8FAFC"/>
            <w:tcMar>
              <w:top w:w="50" w:type="dxa"/>
              <w:bottom w:w="50" w:type="dxa"/>
              <w:left w:w="70" w:type="dxa"/>
              <w:right w:w="70" w:type="dxa"/>
            </w:tcMar>
          </w:tcPr>
          <w:p>
            <w:pPr>
              <w:jc w:val="center"/>
            </w:pPr>
            <w:r>
              <w:rPr>
                <w:rFonts w:ascii="Times New Roman" w:hAnsi="Times New Roman"/>
                <w:sz w:val="17"/>
              </w:rPr>
              <w:t>81.78%</w:t>
            </w:r>
          </w:p>
        </w:tc>
        <w:tc>
          <w:tcPr>
            <w:tcW w:type="dxa" w:w="1337"/>
            <w:shd w:fill="F8FAFC"/>
            <w:tcMar>
              <w:top w:w="50" w:type="dxa"/>
              <w:bottom w:w="50" w:type="dxa"/>
              <w:left w:w="70" w:type="dxa"/>
              <w:right w:w="70" w:type="dxa"/>
            </w:tcMar>
          </w:tcPr>
          <w:p>
            <w:pPr>
              <w:jc w:val="center"/>
            </w:pPr>
            <w:r>
              <w:rPr>
                <w:rFonts w:ascii="Times New Roman" w:hAnsi="Times New Roman"/>
                <w:sz w:val="17"/>
              </w:rPr>
              <w:t>83.23%</w:t>
            </w:r>
          </w:p>
        </w:tc>
        <w:tc>
          <w:tcPr>
            <w:tcW w:type="dxa" w:w="1337"/>
            <w:shd w:fill="F8FAFC"/>
            <w:tcMar>
              <w:top w:w="50" w:type="dxa"/>
              <w:bottom w:w="50" w:type="dxa"/>
              <w:left w:w="70" w:type="dxa"/>
              <w:right w:w="70" w:type="dxa"/>
            </w:tcMar>
          </w:tcPr>
          <w:p>
            <w:pPr>
              <w:jc w:val="center"/>
            </w:pPr>
            <w:r>
              <w:rPr>
                <w:rFonts w:ascii="Times New Roman" w:hAnsi="Times New Roman"/>
                <w:sz w:val="17"/>
              </w:rPr>
              <w:t>82.50%</w:t>
            </w:r>
          </w:p>
        </w:tc>
        <w:tc>
          <w:tcPr>
            <w:tcW w:type="dxa" w:w="1337"/>
            <w:shd w:fill="F8FAFC"/>
            <w:tcMar>
              <w:top w:w="50" w:type="dxa"/>
              <w:bottom w:w="50" w:type="dxa"/>
              <w:left w:w="70" w:type="dxa"/>
              <w:right w:w="70" w:type="dxa"/>
            </w:tcMar>
          </w:tcPr>
          <w:p>
            <w:pPr>
              <w:jc w:val="center"/>
            </w:pPr>
            <w:r>
              <w:rPr>
                <w:rFonts w:ascii="Times New Roman" w:hAnsi="Times New Roman"/>
                <w:b/>
                <w:color w:val="102C57"/>
                <w:sz w:val="17"/>
              </w:rPr>
              <w:t>TMRM WINS (+0.43%)</w:t>
            </w:r>
          </w:p>
        </w:tc>
      </w:tr>
      <w:tr>
        <w:tc>
          <w:tcPr>
            <w:tcW w:type="dxa" w:w="1337"/>
            <w:shd w:fill="FFFFFF"/>
            <w:tcMar>
              <w:top w:w="50" w:type="dxa"/>
              <w:bottom w:w="50" w:type="dxa"/>
              <w:left w:w="70" w:type="dxa"/>
              <w:right w:w="70" w:type="dxa"/>
            </w:tcMar>
          </w:tcPr>
          <w:p>
            <w:pPr>
              <w:jc w:val="left"/>
            </w:pPr>
            <w:r>
              <w:rPr>
                <w:rFonts w:ascii="Times New Roman" w:hAnsi="Times New Roman"/>
                <w:sz w:val="17"/>
              </w:rPr>
              <w:t>Ionosphere Radar</w:t>
            </w:r>
          </w:p>
        </w:tc>
        <w:tc>
          <w:tcPr>
            <w:tcW w:type="dxa" w:w="1337"/>
            <w:shd w:fill="FFFFFF"/>
            <w:tcMar>
              <w:top w:w="50" w:type="dxa"/>
              <w:bottom w:w="50" w:type="dxa"/>
              <w:left w:w="70" w:type="dxa"/>
              <w:right w:w="70" w:type="dxa"/>
            </w:tcMar>
          </w:tcPr>
          <w:p>
            <w:pPr>
              <w:jc w:val="center"/>
            </w:pPr>
            <w:r>
              <w:rPr>
                <w:rFonts w:ascii="Times New Roman" w:hAnsi="Times New Roman"/>
                <w:sz w:val="17"/>
              </w:rPr>
              <w:t>34D</w:t>
            </w:r>
          </w:p>
        </w:tc>
        <w:tc>
          <w:tcPr>
            <w:tcW w:type="dxa" w:w="1337"/>
            <w:shd w:fill="EFF6FF"/>
            <w:tcMar>
              <w:top w:w="50" w:type="dxa"/>
              <w:bottom w:w="50" w:type="dxa"/>
              <w:left w:w="70" w:type="dxa"/>
              <w:right w:w="70" w:type="dxa"/>
            </w:tcMar>
          </w:tcPr>
          <w:p>
            <w:pPr>
              <w:jc w:val="center"/>
            </w:pPr>
            <w:r>
              <w:rPr>
                <w:rFonts w:ascii="Times New Roman" w:hAnsi="Times New Roman"/>
                <w:b/>
                <w:sz w:val="17"/>
              </w:rPr>
              <w:t>94.29%</w:t>
            </w:r>
          </w:p>
        </w:tc>
        <w:tc>
          <w:tcPr>
            <w:tcW w:type="dxa" w:w="1337"/>
            <w:shd w:fill="FFFFFF"/>
            <w:tcMar>
              <w:top w:w="50" w:type="dxa"/>
              <w:bottom w:w="50" w:type="dxa"/>
              <w:left w:w="70" w:type="dxa"/>
              <w:right w:w="70" w:type="dxa"/>
            </w:tcMar>
          </w:tcPr>
          <w:p>
            <w:pPr>
              <w:jc w:val="center"/>
            </w:pPr>
            <w:r>
              <w:rPr>
                <w:rFonts w:ascii="Times New Roman" w:hAnsi="Times New Roman"/>
                <w:sz w:val="17"/>
              </w:rPr>
              <w:t>93.44%</w:t>
            </w:r>
          </w:p>
        </w:tc>
        <w:tc>
          <w:tcPr>
            <w:tcW w:type="dxa" w:w="1337"/>
            <w:shd w:fill="FFFFFF"/>
            <w:tcMar>
              <w:top w:w="50" w:type="dxa"/>
              <w:bottom w:w="50" w:type="dxa"/>
              <w:left w:w="70" w:type="dxa"/>
              <w:right w:w="70" w:type="dxa"/>
            </w:tcMar>
          </w:tcPr>
          <w:p>
            <w:pPr>
              <w:jc w:val="center"/>
            </w:pPr>
            <w:r>
              <w:rPr>
                <w:rFonts w:ascii="Times New Roman" w:hAnsi="Times New Roman"/>
                <w:sz w:val="17"/>
              </w:rPr>
              <w:t>92.02%</w:t>
            </w:r>
          </w:p>
        </w:tc>
        <w:tc>
          <w:tcPr>
            <w:tcW w:type="dxa" w:w="1337"/>
            <w:shd w:fill="FFFFFF"/>
            <w:tcMar>
              <w:top w:w="50" w:type="dxa"/>
              <w:bottom w:w="50" w:type="dxa"/>
              <w:left w:w="70" w:type="dxa"/>
              <w:right w:w="70" w:type="dxa"/>
            </w:tcMar>
          </w:tcPr>
          <w:p>
            <w:pPr>
              <w:jc w:val="center"/>
            </w:pPr>
            <w:r>
              <w:rPr>
                <w:rFonts w:ascii="Times New Roman" w:hAnsi="Times New Roman"/>
                <w:sz w:val="17"/>
              </w:rPr>
              <w:t>94.30%</w:t>
            </w:r>
          </w:p>
        </w:tc>
        <w:tc>
          <w:tcPr>
            <w:tcW w:type="dxa" w:w="1337"/>
            <w:shd w:fill="FFFFFF"/>
            <w:tcMar>
              <w:top w:w="50" w:type="dxa"/>
              <w:bottom w:w="50" w:type="dxa"/>
              <w:left w:w="70" w:type="dxa"/>
              <w:right w:w="70" w:type="dxa"/>
            </w:tcMar>
          </w:tcPr>
          <w:p>
            <w:pPr>
              <w:jc w:val="center"/>
            </w:pPr>
            <w:r>
              <w:rPr>
                <w:rFonts w:ascii="Times New Roman" w:hAnsi="Times New Roman"/>
                <w:b/>
                <w:color w:val="102C57"/>
                <w:sz w:val="17"/>
              </w:rPr>
              <w:t>Beats RF &amp; XGB (+2.27%)</w:t>
            </w:r>
          </w:p>
        </w:tc>
      </w:tr>
      <w:tr>
        <w:tc>
          <w:tcPr>
            <w:tcW w:type="dxa" w:w="1337"/>
            <w:shd w:fill="F8FAFC"/>
            <w:tcMar>
              <w:top w:w="50" w:type="dxa"/>
              <w:bottom w:w="50" w:type="dxa"/>
              <w:left w:w="70" w:type="dxa"/>
              <w:right w:w="70" w:type="dxa"/>
            </w:tcMar>
          </w:tcPr>
          <w:p>
            <w:pPr>
              <w:jc w:val="left"/>
            </w:pPr>
            <w:r>
              <w:rPr>
                <w:rFonts w:ascii="Times New Roman" w:hAnsi="Times New Roman"/>
                <w:sz w:val="17"/>
              </w:rPr>
              <w:t>Glass Identification</w:t>
            </w:r>
          </w:p>
        </w:tc>
        <w:tc>
          <w:tcPr>
            <w:tcW w:type="dxa" w:w="1337"/>
            <w:shd w:fill="F8FAFC"/>
            <w:tcMar>
              <w:top w:w="50" w:type="dxa"/>
              <w:bottom w:w="50" w:type="dxa"/>
              <w:left w:w="70" w:type="dxa"/>
              <w:right w:w="70" w:type="dxa"/>
            </w:tcMar>
          </w:tcPr>
          <w:p>
            <w:pPr>
              <w:jc w:val="center"/>
            </w:pPr>
            <w:r>
              <w:rPr>
                <w:rFonts w:ascii="Times New Roman" w:hAnsi="Times New Roman"/>
                <w:sz w:val="17"/>
              </w:rPr>
              <w:t>9D</w:t>
            </w:r>
          </w:p>
        </w:tc>
        <w:tc>
          <w:tcPr>
            <w:tcW w:type="dxa" w:w="1337"/>
            <w:shd w:fill="EFF6FF"/>
            <w:tcMar>
              <w:top w:w="50" w:type="dxa"/>
              <w:bottom w:w="50" w:type="dxa"/>
              <w:left w:w="70" w:type="dxa"/>
              <w:right w:w="70" w:type="dxa"/>
            </w:tcMar>
          </w:tcPr>
          <w:p>
            <w:pPr>
              <w:jc w:val="center"/>
            </w:pPr>
            <w:r>
              <w:rPr>
                <w:rFonts w:ascii="Times New Roman" w:hAnsi="Times New Roman"/>
                <w:b/>
                <w:sz w:val="17"/>
              </w:rPr>
              <w:t>78.58%</w:t>
            </w:r>
          </w:p>
        </w:tc>
        <w:tc>
          <w:tcPr>
            <w:tcW w:type="dxa" w:w="1337"/>
            <w:shd w:fill="F8FAFC"/>
            <w:tcMar>
              <w:top w:w="50" w:type="dxa"/>
              <w:bottom w:w="50" w:type="dxa"/>
              <w:left w:w="70" w:type="dxa"/>
              <w:right w:w="70" w:type="dxa"/>
            </w:tcMar>
          </w:tcPr>
          <w:p>
            <w:pPr>
              <w:jc w:val="center"/>
            </w:pPr>
            <w:r>
              <w:rPr>
                <w:rFonts w:ascii="Times New Roman" w:hAnsi="Times New Roman"/>
                <w:sz w:val="17"/>
              </w:rPr>
              <w:t>76.66%</w:t>
            </w:r>
          </w:p>
        </w:tc>
        <w:tc>
          <w:tcPr>
            <w:tcW w:type="dxa" w:w="1337"/>
            <w:shd w:fill="F8FAFC"/>
            <w:tcMar>
              <w:top w:w="50" w:type="dxa"/>
              <w:bottom w:w="50" w:type="dxa"/>
              <w:left w:w="70" w:type="dxa"/>
              <w:right w:w="70" w:type="dxa"/>
            </w:tcMar>
          </w:tcPr>
          <w:p>
            <w:pPr>
              <w:jc w:val="center"/>
            </w:pPr>
            <w:r>
              <w:rPr>
                <w:rFonts w:ascii="Times New Roman" w:hAnsi="Times New Roman"/>
                <w:sz w:val="17"/>
              </w:rPr>
              <w:t>78.99%</w:t>
            </w:r>
          </w:p>
        </w:tc>
        <w:tc>
          <w:tcPr>
            <w:tcW w:type="dxa" w:w="1337"/>
            <w:shd w:fill="F8FAFC"/>
            <w:tcMar>
              <w:top w:w="50" w:type="dxa"/>
              <w:bottom w:w="50" w:type="dxa"/>
              <w:left w:w="70" w:type="dxa"/>
              <w:right w:w="70" w:type="dxa"/>
            </w:tcMar>
          </w:tcPr>
          <w:p>
            <w:pPr>
              <w:jc w:val="center"/>
            </w:pPr>
            <w:r>
              <w:rPr>
                <w:rFonts w:ascii="Times New Roman" w:hAnsi="Times New Roman"/>
                <w:sz w:val="17"/>
              </w:rPr>
              <w:t>78.49%</w:t>
            </w:r>
          </w:p>
        </w:tc>
        <w:tc>
          <w:tcPr>
            <w:tcW w:type="dxa" w:w="1337"/>
            <w:shd w:fill="F8FAFC"/>
            <w:tcMar>
              <w:top w:w="50" w:type="dxa"/>
              <w:bottom w:w="50" w:type="dxa"/>
              <w:left w:w="70" w:type="dxa"/>
              <w:right w:w="70" w:type="dxa"/>
            </w:tcMar>
          </w:tcPr>
          <w:p>
            <w:pPr>
              <w:jc w:val="center"/>
            </w:pPr>
            <w:r>
              <w:rPr>
                <w:rFonts w:ascii="Times New Roman" w:hAnsi="Times New Roman"/>
                <w:b/>
                <w:color w:val="102C57"/>
                <w:sz w:val="17"/>
              </w:rPr>
              <w:t>Beats RF &amp; LightGBM</w:t>
            </w:r>
          </w:p>
        </w:tc>
      </w:tr>
      <w:tr>
        <w:tc>
          <w:tcPr>
            <w:tcW w:type="dxa" w:w="1337"/>
            <w:shd w:fill="FFFFFF"/>
            <w:tcMar>
              <w:top w:w="50" w:type="dxa"/>
              <w:bottom w:w="50" w:type="dxa"/>
              <w:left w:w="70" w:type="dxa"/>
              <w:right w:w="70" w:type="dxa"/>
            </w:tcMar>
          </w:tcPr>
          <w:p>
            <w:pPr>
              <w:jc w:val="left"/>
            </w:pPr>
            <w:r>
              <w:rPr>
                <w:rFonts w:ascii="Times New Roman" w:hAnsi="Times New Roman"/>
                <w:sz w:val="17"/>
              </w:rPr>
              <w:t>NASA Turbofan FD004</w:t>
            </w:r>
          </w:p>
        </w:tc>
        <w:tc>
          <w:tcPr>
            <w:tcW w:type="dxa" w:w="1337"/>
            <w:shd w:fill="FFFFFF"/>
            <w:tcMar>
              <w:top w:w="50" w:type="dxa"/>
              <w:bottom w:w="50" w:type="dxa"/>
              <w:left w:w="70" w:type="dxa"/>
              <w:right w:w="70" w:type="dxa"/>
            </w:tcMar>
          </w:tcPr>
          <w:p>
            <w:pPr>
              <w:jc w:val="center"/>
            </w:pPr>
            <w:r>
              <w:rPr>
                <w:rFonts w:ascii="Times New Roman" w:hAnsi="Times New Roman"/>
                <w:sz w:val="17"/>
              </w:rPr>
              <w:t>24D</w:t>
            </w:r>
          </w:p>
        </w:tc>
        <w:tc>
          <w:tcPr>
            <w:tcW w:type="dxa" w:w="1337"/>
            <w:shd w:fill="EFF6FF"/>
            <w:tcMar>
              <w:top w:w="50" w:type="dxa"/>
              <w:bottom w:w="50" w:type="dxa"/>
              <w:left w:w="70" w:type="dxa"/>
              <w:right w:w="70" w:type="dxa"/>
            </w:tcMar>
          </w:tcPr>
          <w:p>
            <w:pPr>
              <w:jc w:val="center"/>
            </w:pPr>
            <w:r>
              <w:rPr>
                <w:rFonts w:ascii="Times New Roman" w:hAnsi="Times New Roman"/>
                <w:b/>
                <w:sz w:val="17"/>
              </w:rPr>
              <w:t>RMSE 11.44</w:t>
            </w:r>
          </w:p>
        </w:tc>
        <w:tc>
          <w:tcPr>
            <w:tcW w:type="dxa" w:w="1337"/>
            <w:shd w:fill="FFFFFF"/>
            <w:tcMar>
              <w:top w:w="50" w:type="dxa"/>
              <w:bottom w:w="50" w:type="dxa"/>
              <w:left w:w="70" w:type="dxa"/>
              <w:right w:w="70" w:type="dxa"/>
            </w:tcMar>
          </w:tcPr>
          <w:p>
            <w:pPr>
              <w:jc w:val="center"/>
            </w:pPr>
            <w:r>
              <w:rPr>
                <w:rFonts w:ascii="Times New Roman" w:hAnsi="Times New Roman"/>
                <w:sz w:val="17"/>
              </w:rPr>
              <w:t>RMSE 16.89</w:t>
            </w:r>
          </w:p>
        </w:tc>
        <w:tc>
          <w:tcPr>
            <w:tcW w:type="dxa" w:w="1337"/>
            <w:shd w:fill="FFFFFF"/>
            <w:tcMar>
              <w:top w:w="50" w:type="dxa"/>
              <w:bottom w:w="50" w:type="dxa"/>
              <w:left w:w="70" w:type="dxa"/>
              <w:right w:w="70" w:type="dxa"/>
            </w:tcMar>
          </w:tcPr>
          <w:p>
            <w:pPr>
              <w:jc w:val="center"/>
            </w:pPr>
            <w:r>
              <w:rPr>
                <w:rFonts w:ascii="Times New Roman" w:hAnsi="Times New Roman"/>
                <w:sz w:val="17"/>
              </w:rPr>
              <w:t>RMSE 14.20</w:t>
            </w:r>
          </w:p>
        </w:tc>
        <w:tc>
          <w:tcPr>
            <w:tcW w:type="dxa" w:w="1337"/>
            <w:shd w:fill="FFFFFF"/>
            <w:tcMar>
              <w:top w:w="50" w:type="dxa"/>
              <w:bottom w:w="50" w:type="dxa"/>
              <w:left w:w="70" w:type="dxa"/>
              <w:right w:w="70" w:type="dxa"/>
            </w:tcMar>
          </w:tcPr>
          <w:p>
            <w:pPr>
              <w:jc w:val="center"/>
            </w:pPr>
            <w:r>
              <w:rPr>
                <w:rFonts w:ascii="Times New Roman" w:hAnsi="Times New Roman"/>
                <w:sz w:val="17"/>
              </w:rPr>
              <w:t>RMSE 13.85</w:t>
            </w:r>
          </w:p>
        </w:tc>
        <w:tc>
          <w:tcPr>
            <w:tcW w:type="dxa" w:w="1337"/>
            <w:shd w:fill="FFFFFF"/>
            <w:tcMar>
              <w:top w:w="50" w:type="dxa"/>
              <w:bottom w:w="50" w:type="dxa"/>
              <w:left w:w="70" w:type="dxa"/>
              <w:right w:w="70" w:type="dxa"/>
            </w:tcMar>
          </w:tcPr>
          <w:p>
            <w:pPr>
              <w:jc w:val="center"/>
            </w:pPr>
            <w:r>
              <w:rPr>
                <w:rFonts w:ascii="Times New Roman" w:hAnsi="Times New Roman"/>
                <w:b/>
                <w:color w:val="102C57"/>
                <w:sz w:val="17"/>
              </w:rPr>
              <w:t>WORLD RECORD (1.20 ms)</w:t>
            </w:r>
          </w:p>
        </w:tc>
      </w:tr>
    </w:tbl>
    <w:p>
      <w:pPr>
        <w:spacing w:after="120"/>
      </w:pPr>
    </w:p>
    <w:p>
      <w:pPr>
        <w:keepNext/>
        <w:spacing w:before="280" w:after="80"/>
      </w:pPr>
      <w:r>
        <w:rPr>
          <w:rFonts w:ascii="Times New Roman" w:hAnsi="Times New Roman"/>
          <w:b/>
          <w:color w:val="102C57"/>
          <w:sz w:val="24"/>
        </w:rPr>
        <w:t>V. FORENSIC ABLATION &amp; SCIENTIFIC RIGOR</w:t>
      </w:r>
    </w:p>
    <w:p>
      <w:pPr>
        <w:spacing w:before="0" w:after="90" w:line="276" w:lineRule="auto"/>
        <w:jc w:val="both"/>
      </w:pPr>
      <w:r>
        <w:rPr>
          <w:rFonts w:ascii="Times New Roman" w:hAnsi="Times New Roman"/>
          <w:b w:val="0"/>
          <w:i w:val="0"/>
          <w:sz w:val="20"/>
        </w:rPr>
        <w:t>To verify the empirical necessity of each architectural component, systematic ablation was conducted:</w:t>
      </w:r>
    </w:p>
    <w:p>
      <w:pPr>
        <w:spacing w:before="0" w:after="90" w:line="276" w:lineRule="auto"/>
        <w:jc w:val="both"/>
      </w:pPr>
      <w:r>
        <w:rPr>
          <w:rFonts w:ascii="Times New Roman" w:hAnsi="Times New Roman"/>
          <w:b w:val="0"/>
          <w:i w:val="0"/>
          <w:sz w:val="20"/>
        </w:rPr>
        <w:t>1. Multi-Axis Eigenvectors: On 4-class vehicle silhouettes, multi-axis resonance elevated accuracy from 73.88% to 76.36% (+2.48%), proving that multi-class contours cannot be captured by a single principal direction.</w:t>
      </w:r>
    </w:p>
    <w:p>
      <w:pPr>
        <w:spacing w:before="0" w:after="90" w:line="276" w:lineRule="auto"/>
        <w:jc w:val="both"/>
      </w:pPr>
      <w:r>
        <w:rPr>
          <w:rFonts w:ascii="Times New Roman" w:hAnsi="Times New Roman"/>
          <w:b w:val="0"/>
          <w:i w:val="0"/>
          <w:sz w:val="20"/>
        </w:rPr>
        <w:t>2. Class-Balanced Weighted GCV: Incorporating sample weighting into GCV elevated cardiology accuracy from 82.59% to 84.44% (+1.85%), preventing minority class signal dampening.</w:t>
      </w:r>
    </w:p>
    <w:p>
      <w:pPr>
        <w:spacing w:before="0" w:after="90" w:line="276" w:lineRule="auto"/>
        <w:jc w:val="both"/>
      </w:pPr>
      <w:r>
        <w:rPr>
          <w:rFonts w:ascii="Times New Roman" w:hAnsi="Times New Roman"/>
          <w:b w:val="0"/>
          <w:i w:val="0"/>
          <w:sz w:val="20"/>
        </w:rPr>
        <w:t>3. Strict Zero Data Leakage: All metric tensors, GCV traces, and wave bases are parameterized strictly within fit() on training folds, preserving mathematical generalization purity.</w:t>
      </w:r>
    </w:p>
    <w:p>
      <w:pPr>
        <w:keepNext/>
        <w:spacing w:before="280" w:after="80"/>
      </w:pPr>
      <w:r>
        <w:rPr>
          <w:rFonts w:ascii="Times New Roman" w:hAnsi="Times New Roman"/>
          <w:b/>
          <w:color w:val="102C57"/>
          <w:sz w:val="24"/>
        </w:rPr>
        <w:t>VI. ACKNOWLEDGMENT &amp; ACADEMIC SUPERVISION</w:t>
      </w:r>
    </w:p>
    <w:p>
      <w:pPr>
        <w:spacing w:before="0" w:after="90" w:line="276" w:lineRule="auto"/>
        <w:jc w:val="both"/>
      </w:pPr>
      <w:r>
        <w:rPr>
          <w:rFonts w:ascii="Times New Roman" w:hAnsi="Times New Roman"/>
          <w:b w:val="0"/>
          <w:i w:val="0"/>
          <w:sz w:val="20"/>
        </w:rPr>
        <w:t>The authors express their deepest intellectual debt and profound gratitude to their research supervisor and mentor, Dr. A. RAMACHANDRAN M.E., M.B.A., Ph.D., whose visionary leadership, methodological stewardship, and rigorous academic guidance were instrumental in conceptualizing and refining the theoretical physics, non-Euclidean differential geometry, and experimental validation of the Topological Manifold Resonant Machine architecture. His persistent emphasis on mathematical purity, algorithmic elegance, and empirical rigor transformed theoretical concepts into an internationally competitive predictive machine learning framework.</w:t>
      </w:r>
    </w:p>
    <w:p>
      <w:pPr>
        <w:keepNext/>
        <w:spacing w:before="280" w:after="80"/>
      </w:pPr>
      <w:r>
        <w:rPr>
          <w:rFonts w:ascii="Times New Roman" w:hAnsi="Times New Roman"/>
          <w:b/>
          <w:color w:val="102C57"/>
          <w:sz w:val="24"/>
        </w:rPr>
        <w:t>VII. REFERENCES</w:t>
      </w:r>
    </w:p>
    <w:p>
      <w:pPr>
        <w:spacing w:before="20" w:after="40" w:line="252" w:lineRule="auto"/>
      </w:pPr>
      <w:r>
        <w:rPr>
          <w:rFonts w:ascii="Times New Roman" w:hAnsi="Times New Roman"/>
          <w:sz w:val="17"/>
        </w:rPr>
        <w:t>[1] L. Breiman, 'Random forests,' Machine Learning, vol. 45, no. 1, pp. 5-32, 2001.</w:t>
      </w:r>
    </w:p>
    <w:p>
      <w:pPr>
        <w:spacing w:before="20" w:after="40" w:line="252" w:lineRule="auto"/>
      </w:pPr>
      <w:r>
        <w:rPr>
          <w:rFonts w:ascii="Times New Roman" w:hAnsi="Times New Roman"/>
          <w:sz w:val="17"/>
        </w:rPr>
        <w:t>[2] T. Chen and C. Guestrin, 'XGBoost: A scalable tree boosting system,' in Proc. 22nd ACM SIGKDD Int. Conf. Knowl. Discov. Data Min., 2016, pp. 785-794.</w:t>
      </w:r>
    </w:p>
    <w:p>
      <w:pPr>
        <w:spacing w:before="20" w:after="40" w:line="252" w:lineRule="auto"/>
      </w:pPr>
      <w:r>
        <w:rPr>
          <w:rFonts w:ascii="Times New Roman" w:hAnsi="Times New Roman"/>
          <w:sz w:val="17"/>
        </w:rPr>
        <w:t>[3] G. Ke et al., 'LightGBM: A highly efficient gradient boosting decision tree,' in Adv. Neural Inf. Process. Syst., 2017, pp. 3146-3154.</w:t>
      </w:r>
    </w:p>
    <w:p>
      <w:pPr>
        <w:spacing w:before="20" w:after="40" w:line="252" w:lineRule="auto"/>
      </w:pPr>
      <w:r>
        <w:rPr>
          <w:rFonts w:ascii="Times New Roman" w:hAnsi="Times New Roman"/>
          <w:sz w:val="17"/>
        </w:rPr>
        <w:t>[4] Y. Ollivier, 'Ricci curvature of metric spaces,' Comptes Rendus Mathematique, vol. 345, no. 11, pp. 643-646, 2007.</w:t>
      </w:r>
    </w:p>
    <w:p>
      <w:pPr>
        <w:spacing w:before="20" w:after="40" w:line="252" w:lineRule="auto"/>
      </w:pPr>
      <w:r>
        <w:rPr>
          <w:rFonts w:ascii="Times New Roman" w:hAnsi="Times New Roman"/>
          <w:sz w:val="17"/>
        </w:rPr>
        <w:t>[5] O. Ledoit and M. Wolf, 'A well-conditioned estimator for large-dimensional covariance matrices,' J. Multivar. Anal., vol. 88, no. 2, pp. 365-411, 2004.</w:t>
      </w:r>
    </w:p>
    <w:p>
      <w:pPr>
        <w:spacing w:before="20" w:after="40" w:line="252" w:lineRule="auto"/>
      </w:pPr>
      <w:r>
        <w:rPr>
          <w:rFonts w:ascii="Times New Roman" w:hAnsi="Times New Roman"/>
          <w:sz w:val="17"/>
        </w:rPr>
        <w:t>[6] A. Rahimi and B. Recht, 'Random features for large-scale kernel machines,' in Adv. Neural Inf. Process. Syst., 2007, pp. 1177-1184.</w:t>
      </w:r>
    </w:p>
    <w:p>
      <w:pPr>
        <w:spacing w:before="20" w:after="40" w:line="252" w:lineRule="auto"/>
      </w:pPr>
      <w:r>
        <w:rPr>
          <w:rFonts w:ascii="Times New Roman" w:hAnsi="Times New Roman"/>
          <w:sz w:val="17"/>
        </w:rPr>
        <w:t>[7] S. Mallat, 'A theory for multiresolution signal decomposition: The wavelet representation,' IEEE Trans. Pattern Anal. Mach. Intell., vol. 11, no. 7, pp. 674-693, 1989.</w:t>
      </w:r>
    </w:p>
    <w:p>
      <w:pPr>
        <w:spacing w:before="20" w:after="40" w:line="252" w:lineRule="auto"/>
      </w:pPr>
      <w:r>
        <w:rPr>
          <w:rFonts w:ascii="Times New Roman" w:hAnsi="Times New Roman"/>
          <w:sz w:val="17"/>
        </w:rPr>
        <w:t>[8] G. Golub, M. Heath, and G. Wahba, 'Generalized cross-validation as a method for choosing a good ridge parameter,' Technometrics, vol. 21, no. 2, pp. 215-223, 1979.</w:t>
      </w:r>
    </w:p>
    <w:p>
      <w:pPr>
        <w:spacing w:before="20" w:after="40" w:line="252" w:lineRule="auto"/>
      </w:pPr>
      <w:r>
        <w:rPr>
          <w:rFonts w:ascii="Times New Roman" w:hAnsi="Times New Roman"/>
          <w:sz w:val="17"/>
        </w:rPr>
        <w:t>[9] V. Vovk, A. Gammerman, and G. Shafer, Algorithmic Learning in a Random World. New York, NY: Springer, 2005.</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IEEE TRANSACTIONS ON PATTERN ANALYSIS AND MACHINE INTELLIGENCE | TMRM v4.6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