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</w:pPr>
      <w:r>
        <w:rPr>
          <w:rFonts w:ascii="Calibri" w:cs="Calibri" w:eastAsia="Calibri" w:hAnsi="Calibri"/>
          <w:b/>
          <w:bCs/>
          <w:color w:val="1A1A1A"/>
          <w:sz w:val="38"/>
          <w:szCs w:val="38"/>
        </w:rPr>
        <w:t xml:space="preserve">BALAJI PONRAJ</w:t>
      </w:r>
    </w:p>
    <w:p>
      <w:pPr>
        <w:spacing w:after="36" w:before="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Senior Art Director  |  Life Sciences &amp; Pharmaceutical Design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Mississauga, ON  ·  balajiponraj1004@gmail.com  ·  +1 437-973-3108  ·  balajiponraj.netlify.app</w:t>
      </w:r>
    </w:p>
    <w:p>
      <w:pPr>
        <w:pBdr>
          <w:bottom w:val="single" w:color="1A1A1A" w:sz="6" w:space="1"/>
        </w:pBdr>
        <w:spacing w:after="60" w:before="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pBdr>
          <w:bottom w:val="single" w:color="1A1A1A" w:sz="6" w:space="1"/>
        </w:pBdr>
        <w:spacing w:after="60" w:before="0"/>
      </w:pP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Senior art director and visual design leader with 13+ years creating strategic content for global pharmaceutical, biotech, and life sciences organizations. Four years embedded as Lead Creative at IQVIA — the world’s largest pharma data company — directing 4–6 designers and delivering 200+ assets for FDA-regulated pharmaceutical brands across HCP engagement, patient-facing programs, and scientific communications. Deep expertise conceptualizing, storyboarding, and producing multi-channel campaigns from brief to production, with rigorous adherence to pharmaceutical regulatory and MLR compliance standards. Canadian-based with direct experience serving Canadian and US pharma clients. Adobe Creative Suite expert (13+ years), Figma, Adobe XD, HTML5, After Effects, Premiere Pro. PG Certificate in Project Management — Algoma University, 2025.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CORE COMPETENCIES</w:t>
      </w:r>
    </w:p>
    <w:p>
      <w:pPr>
        <w:pBdr>
          <w:bottom w:val="single" w:color="1A1A1A" w:sz="6" w:space="1"/>
        </w:pBdr>
        <w:spacing w:after="60" w:before="0"/>
      </w:pP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Art Direction &amp; Creative Leadership  ·  Life Sciences &amp; Pharmaceutical Design  ·  HCP Engagement Materials  ·  Patient-Facing Program Assets  ·  Scientific Communications  ·  FDA-Regulated Content  ·  PAAB &amp; MLR Compliance  ·  Conceptualization &amp; Storyboarding  ·  Infographics &amp; Data Visualization  ·  Print + Digital Campaign Execution  ·  Prototyping (Figma / Adobe XD)  ·  Brand Strategy &amp; Compliance  ·  Creative Team Leadership &amp; Mentorship  ·  Multi-Format Production Systems  ·  ON24 / Cvent Virtual Events  ·  Motion Graphics &amp; Video Editing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TOOLS &amp; TECHNOLOGY</w:t>
      </w:r>
    </w:p>
    <w:p>
      <w:pPr>
        <w:pBdr>
          <w:bottom w:val="single" w:color="1A1A1A" w:sz="6" w:space="1"/>
        </w:pBdr>
        <w:spacing w:after="60" w:before="0"/>
      </w:pP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Adobe Photoshop  ·  Illustrator  ·  InDesign  ·  After Effects  ·  Premiere Pro  ·  Adobe XD  ·  Figma  ·  HTML5  ·  CSS3  ·  Microsoft PowerPoint  ·  ON24  ·  Cvent  ·  CapCut  ·  CorelDRAW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EXPERIENCE</w:t>
      </w:r>
    </w:p>
    <w:p>
      <w:pPr>
        <w:pBdr>
          <w:bottom w:val="single" w:color="1A1A1A" w:sz="6" w:space="1"/>
        </w:pBdr>
        <w:spacing w:after="60" w:before="0"/>
      </w:pP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Senior Art Director (Independent)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Freelance | Mississauga, 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June 2024 – Present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Art directed end-to-end brand identities, digital campaigns, and marketing systems for clients across Canada and globally, maintaining pharma-grade production standards.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Conceptualized and executed two complete brand systems — logo, visual language, packaging, signage, print collateral, and social templates — from strategic brief through production-ready delivery.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Storyboarded and directed short-form video and motion graphics content, achieving 30%+ organic engagement growth for client social channels.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98% on-time delivery rate sustained across all client engagements.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Lead Graphic Designer — Creative Lead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IQVIA | Mississauga, 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2019 – August 2023</w:t>
      </w:r>
    </w:p>
    <w:p>
      <w:pPr>
        <w:spacing w:after="55" w:before="4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Embedded creative lead within the world’s largest pharmaceutical data and analytics company, directing design output for global pharma, biotech, and life sciences manufacturer clients across North America and internationally.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Art directed and produced 200+ assets — infographics, white papers, brochures, fact sheets, and digital content — for HCP education, patient support programs, sales force enablement, and executive scientific communications.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Directed a team of 4–6 designers across simultaneous pharma account deliverables; provided critical creative feedback, quality control, and structured mentorship aligned to pharmaceutical brand standards.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Ensured 100% compliance of all creative output with pharmaceutical regulatory guidelines, MLR (Medical-Legal-Regulatory) review standards, and PAAB-aligned advertising requirements for FDA-regulated pharmaceutical brands.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Conceptualized, storyboarded, and presented creative strategies to senior stakeholders at global pharmaceutical clients — clearly demonstrating how creative decisions supported strategic business and commercial objectives.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visual design and production for ON24 and Cvent virtual event environments supporting pharmaceutical product launches, medical congresses, and life sciences industry forums.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implemented InDesign scripting (ExtendScript/JSX) automation systems — reduced team production turnaround by 15% across all pharma accounts.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95% client satisfaction with zero critical revision cycles on 80% of deliverables across all pharmaceutical accounts.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Graphic Designer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Honeywell | Chennai, India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August 2017 – May 2019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complex data visualization infographics and marketing collateral for global industrial technology audiences, translating technical performance data into boardroom-ready visual narratives.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Created executive presentation systems deployed across APAC sales and marketing divisions; maintained strict brand compliance across all print and digital formats.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Collaborated with cross-functional marketing teams to concept and execute integrated campaign materials for global product lines.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Graphic Designer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QuintilesIMS (now IQVIA) | Chennai, India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August 2015 – August 2017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HCP-facing publications, newsletters, and branded content for pharmaceutical market intelligence products reaching 50,000+ industry readers across global pharma and life sciences audiences.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Art directed redesign of the flagship monthly publication, resulting in 10% increase in reader engagement across HCP subscriber base.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scalable icon libraries and visual design systems ensuring cross-product brand consistency across pharmaceutical market intelligence platforms.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Earlier Career (2010–2015)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Production Designer and Publishing Specialist roles across enterprise publishing systems, high-volume print production, and digital advertising — building the production rigour and multi-format discipline applied throughout subsequent pharma career.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pBdr>
          <w:bottom w:val="single" w:color="1A1A1A" w:sz="6" w:space="1"/>
        </w:pBdr>
        <w:spacing w:after="60" w:before="0"/>
      </w:pP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Postgraduate Certificate — Project Management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2024–2025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Algoma University  ·  Ontario, Canada  ·  Agile  ·  Waterfall  ·  PMP Framework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Engineering — Computer Science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2005–2009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Coimbatore Institute of Engineering &amp; Information Technology  ·  India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PORTFOLIO</w:t>
      </w:r>
    </w:p>
    <w:p>
      <w:pPr>
        <w:pBdr>
          <w:bottom w:val="single" w:color="1A1A1A" w:sz="6" w:space="1"/>
        </w:pBdr>
        <w:spacing w:after="60" w:before="0"/>
      </w:pP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balajiponraj.netlify.app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55" w:before="0"/>
        <w:ind w:left="320" w:hanging="200"/>
      </w:pPr>
      <w:rPr>
        <w:rFonts w:ascii="Calibri" w:cs="Calibri" w:eastAsia="Calibri" w:hAnsi="Calibri"/>
        <w:color w:val="1A1A1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2026-05-26T02:21:07.164Z</dcterms:created>
  <dcterms:modified xsi:type="dcterms:W3CDTF">2026-05-26T02:21:07.168Z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