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aa83ec0b6e0f227c597c4a26d74de5386f90771"/>
    <w:p>
      <w:pPr>
        <w:pStyle w:val="Heading1"/>
      </w:pPr>
      <w:r>
        <w:t xml:space="preserve">Open Agent Builder — Reference Architecture for Composer Port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Self-contained technical reference for the IE engineering team rewriting Open Agent Builder (OAB) as</w:t>
      </w:r>
      <w:r>
        <w:t xml:space="preserve"> </w:t>
      </w:r>
      <w:r>
        <w:rPr>
          <w:b/>
          <w:bCs/>
        </w:rPr>
        <w:t xml:space="preserve">Composer</w:t>
      </w:r>
      <w:r>
        <w:t xml:space="preserve">, a module inside the Intelligent Engineering monorepo. Assumes no prior familiarity with OAB.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2026-04-15</w:t>
      </w:r>
      <w:r>
        <w:t xml:space="preserve"> </w:t>
      </w:r>
      <w:r>
        <w:rPr>
          <w:b/>
          <w:bCs/>
        </w:rPr>
        <w:t xml:space="preserve">Source repo:</w:t>
      </w:r>
      <w:r>
        <w:t xml:space="preserve"> </w:t>
      </w:r>
      <w:r>
        <w:t xml:space="preserve">https://github.com/balajir2/open-agent-builder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rPr>
          <w:rStyle w:val="VerbatimChar"/>
        </w:rPr>
        <w:t xml:space="preserve">apps/composer/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Bounteous-Inc/intelligent-engineering</w:t>
      </w:r>
    </w:p>
    <w:p>
      <w:r>
        <w:pict>
          <v:rect style="width:0;height:1.5pt" o:hralign="center" o:hrstd="t" o:hr="t"/>
        </w:pict>
      </w:r>
    </w:p>
    <w:bookmarkStart w:id="9" w:name="what-oab-is-in-one-paragraph"/>
    <w:p>
      <w:pPr>
        <w:pStyle w:val="Heading2"/>
      </w:pPr>
      <w:r>
        <w:t xml:space="preserve">1. What OAB Is (in one paragraph)</w:t>
      </w:r>
    </w:p>
    <w:p>
      <w:pPr>
        <w:pStyle w:val="FirstParagraph"/>
      </w:pPr>
      <w:r>
        <w:t xml:space="preserve">Open Agent Builder is a visual, low-code platform for composing AI workflows. Users drag nodes onto a canvas (Start → Agent → MCP → If/Else → End), configure each node, and execute the result as a LangGraph state machine. Each node type corresponds to a concrete execution unit: an LLM call, an MCP tool invocation, an HTTP request, a JavaScript transform, a human approval gate, etc. Workflows stream execution events in real time via Server-Sent Events so users watch nodes light up as they run. It supports 4 LLM providers (Anthropic, OpenAI, Google, Groq) and MCP-based tool servers (including OAuth 2.0 flows). Think</w:t>
      </w:r>
      <w:r>
        <w:t xml:space="preserve"> </w:t>
      </w:r>
      <w:r>
        <w:t xml:space="preserve">“Zapier for AI agents”</w:t>
      </w:r>
      <w:r>
        <w:t xml:space="preserve"> </w:t>
      </w:r>
      <w:r>
        <w:t xml:space="preserve">— but with a real execution engine behind it.</w:t>
      </w:r>
    </w:p>
    <w:p>
      <w:r>
        <w:pict>
          <v:rect style="width:0;height:1.5pt" o:hralign="center" o:hrstd="t" o:hr="t"/>
        </w:pict>
      </w:r>
    </w:p>
    <w:bookmarkEnd w:id="9"/>
    <w:bookmarkStart w:id="10" w:name="current-tech-stack-and-how-it-maps-to-ie"/>
    <w:p>
      <w:pPr>
        <w:pStyle w:val="Heading2"/>
      </w:pPr>
      <w:r>
        <w:t xml:space="preserve">2. Current Tech Stack (and how it maps to IE)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OAB today</w:t>
            </w:r>
          </w:p>
        </w:tc>
        <w:tc>
          <w:tcPr/>
          <w:p>
            <w:pPr>
              <w:pStyle w:val="Compact"/>
            </w:pPr>
            <w:r>
              <w:t xml:space="preserve">Composer target in 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framework</w:t>
            </w:r>
          </w:p>
        </w:tc>
        <w:tc>
          <w:tcPr/>
          <w:p>
            <w:pPr>
              <w:pStyle w:val="Compact"/>
            </w:pPr>
            <w:r>
              <w:t xml:space="preserve">Next.js 16 + React 19 + TypeScript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 as-is</w:t>
            </w:r>
            <w:r>
              <w:t xml:space="preserve"> </w:t>
            </w:r>
            <w:r>
              <w:t xml:space="preserve">— becomes</w:t>
            </w:r>
            <w:r>
              <w:t xml:space="preserve"> </w:t>
            </w:r>
            <w:r>
              <w:rPr>
                <w:rStyle w:val="VerbatimChar"/>
              </w:rPr>
              <w:t xml:space="preserve">apps/composer/composer-ui/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builder</w:t>
            </w:r>
          </w:p>
        </w:tc>
        <w:tc>
          <w:tcPr/>
          <w:p>
            <w:pPr>
              <w:pStyle w:val="Compact"/>
            </w:pPr>
            <w:r>
              <w:t xml:space="preserve">React Flow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 as-is</w:t>
            </w:r>
            <w:r>
              <w:t xml:space="preserve"> </w:t>
            </w:r>
            <w:r>
              <w:t xml:space="preserve">— no Python equivalent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runtime</w:t>
            </w:r>
          </w:p>
        </w:tc>
        <w:tc>
          <w:tcPr/>
          <w:p>
            <w:pPr>
              <w:pStyle w:val="Compact"/>
            </w:pPr>
            <w:r>
              <w:t xml:space="preserve">Next.js API routes (TypeScript)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Replace with Python / FastAPI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apps/composer/composer-service/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engine</w:t>
            </w:r>
          </w:p>
        </w:tc>
        <w:tc>
          <w:tcPr/>
          <w:p>
            <w:pPr>
              <w:pStyle w:val="Compact"/>
            </w:pPr>
            <w:r>
              <w:t xml:space="preserve">LangGraph 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 to LangGraph Python</w:t>
            </w:r>
            <w:r>
              <w:t xml:space="preserve"> </w:t>
            </w:r>
            <w:r>
              <w:t xml:space="preserve">(more mature lib)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Convex (real-time NoSQL)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Replace with Prisma / Postgres</w:t>
            </w:r>
            <w:r>
              <w:t xml:space="preserve"> </w:t>
            </w:r>
            <w:r>
              <w:t xml:space="preserve">(IE’s standard)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Convex live queries + SSE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IE’s WebSocket protocol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DES-007</w:t>
            </w:r>
            <w:r>
              <w:t xml:space="preserve">) + SSE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NextAuth.js + Azure 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IE JWT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DES-004</w:t>
            </w:r>
            <w:r>
              <w:t xml:space="preserve">) +</w:t>
            </w:r>
            <w:r>
              <w:t xml:space="preserve"> </w:t>
            </w:r>
            <w:r>
              <w:rPr>
                <w:b/>
                <w:bCs/>
              </w:rPr>
              <w:t xml:space="preserve">IE RBAC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DES-005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AES-256-GCM via Convex env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IE secret management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DES-026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catalog</w:t>
            </w:r>
          </w:p>
        </w:tc>
        <w:tc>
          <w:tcPr/>
          <w:p>
            <w:pPr>
              <w:pStyle w:val="Compact"/>
            </w:pPr>
            <w:r>
              <w:t xml:space="preserve">OAB’s own list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Maestro’s agent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registry</w:t>
            </w:r>
          </w:p>
        </w:tc>
        <w:tc>
          <w:tcPr/>
          <w:p>
            <w:pPr>
              <w:pStyle w:val="Compact"/>
            </w:pPr>
            <w:r>
              <w:t xml:space="preserve">OAB’s</w:t>
            </w:r>
            <w:r>
              <w:t xml:space="preserve"> </w:t>
            </w:r>
            <w:r>
              <w:rPr>
                <w:rStyle w:val="VerbatimChar"/>
              </w:rPr>
              <w:t xml:space="preserve">mcp-registry.ts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IE’s MCP orchestrator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DES-008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LangSmith tracing</w:t>
            </w:r>
          </w:p>
        </w:tc>
        <w:tc>
          <w:tcPr/>
          <w:p>
            <w:pPr>
              <w:pStyle w:val="Compact"/>
            </w:pPr>
            <w:r>
              <w:t xml:space="preserve">Optional via env vars</w:t>
            </w:r>
          </w:p>
        </w:tc>
        <w:tc>
          <w:tcPr/>
          <w:p>
            <w:pPr>
              <w:pStyle w:val="Compact"/>
            </w:pPr>
            <w:r>
              <w:t xml:space="preserve">Keep — orthogonal to stack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5a533c124215e06041739bf012ae3857776e126"/>
    <w:p>
      <w:pPr>
        <w:pStyle w:val="Heading2"/>
      </w:pPr>
      <w:r>
        <w:t xml:space="preserve">3. The 15 Node Types (What Composer Must Support on Day 1)</w:t>
      </w:r>
    </w:p>
    <w:p>
      <w:pPr>
        <w:pStyle w:val="FirstParagraph"/>
      </w:pPr>
      <w:r>
        <w:rPr>
          <w:b/>
          <w:bCs/>
        </w:rPr>
        <w:t xml:space="preserve">Core (10):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— entry point; declares input variables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— LLM call with optional tool/MCP attachments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mcp</w:t>
      </w:r>
      <w:r>
        <w:t xml:space="preserve"> </w:t>
      </w:r>
      <w:r>
        <w:t xml:space="preserve">— direct MCP tool invocation (not via agent reasoning)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— LLM-powered structured data extraction with schema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— HTTP API call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 </w:t>
      </w:r>
      <w:r>
        <w:t xml:space="preserve">— JavaScript code (sandboxed)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if-else</w:t>
      </w:r>
      <w:r>
        <w:t xml:space="preserve"> </w:t>
      </w:r>
      <w:r>
        <w:t xml:space="preserve">— conditional branching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— loop until condition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user-approval</w:t>
      </w:r>
      <w:r>
        <w:t xml:space="preserve"> </w:t>
      </w:r>
      <w:r>
        <w:t xml:space="preserve">— human-in-the-loop pause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— terminal node</w:t>
      </w:r>
    </w:p>
    <w:p>
      <w:pPr>
        <w:pStyle w:val="BodyText"/>
      </w:pPr>
      <w:r>
        <w:rPr>
          <w:b/>
          <w:bCs/>
        </w:rPr>
        <w:t xml:space="preserve">Additional (5):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set-state</w:t>
      </w:r>
      <w:r>
        <w:t xml:space="preserve"> </w:t>
      </w:r>
      <w:r>
        <w:t xml:space="preserve">— direct variable manipulation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guardrails</w:t>
      </w:r>
      <w:r>
        <w:t xml:space="preserve"> </w:t>
      </w:r>
      <w:r>
        <w:t xml:space="preserve">— content moderation / safety checks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arcade</w:t>
      </w:r>
      <w:r>
        <w:t xml:space="preserve"> </w:t>
      </w:r>
      <w:r>
        <w:t xml:space="preserve">— Arcade tool integration (browser automation)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gamma-ai</w:t>
      </w:r>
      <w:r>
        <w:t xml:space="preserve"> </w:t>
      </w:r>
      <w:r>
        <w:t xml:space="preserve">— Gamma presentation/doc generation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note</w:t>
      </w:r>
      <w:r>
        <w:t xml:space="preserve"> </w:t>
      </w:r>
      <w:r>
        <w:t xml:space="preserve">— documentation-only node (no execution)</w:t>
      </w:r>
    </w:p>
    <w:p>
      <w:pPr>
        <w:pStyle w:val="BodyText"/>
      </w:pPr>
      <w:r>
        <w:rPr>
          <w:b/>
          <w:bCs/>
        </w:rPr>
        <w:t xml:space="preserve">What to keep for Composer v1:</w:t>
      </w:r>
      <w:r>
        <w:t xml:space="preserve"> </w:t>
      </w:r>
      <w:r>
        <w:t xml:space="preserve">All 10 core +</w:t>
      </w:r>
      <w:r>
        <w:t xml:space="preserve"> </w:t>
      </w:r>
      <w:r>
        <w:rPr>
          <w:rStyle w:val="VerbatimChar"/>
        </w:rPr>
        <w:t xml:space="preserve">set-state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guardrails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</w:t>
      </w:r>
      <w:r>
        <w:t xml:space="preserve">. Defer</w:t>
      </w:r>
      <w:r>
        <w:t xml:space="preserve"> </w:t>
      </w:r>
      <w:r>
        <w:rPr>
          <w:rStyle w:val="VerbatimChar"/>
        </w:rPr>
        <w:t xml:space="preserve">arcade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gamma-ai</w:t>
      </w:r>
      <w:r>
        <w:t xml:space="preserve"> </w:t>
      </w:r>
      <w:r>
        <w:t xml:space="preserve">unless there’s demand. These are proprietary 3rd-party integrations that aren’t core to SDLC workflows.</w:t>
      </w:r>
    </w:p>
    <w:p>
      <w:r>
        <w:pict>
          <v:rect style="width:0;height:1.5pt" o:hralign="center" o:hrstd="t" o:hr="t"/>
        </w:pict>
      </w:r>
    </w:p>
    <w:bookmarkEnd w:id="11"/>
    <w:bookmarkStart w:id="22" w:name="key-architectural-concepts"/>
    <w:p>
      <w:pPr>
        <w:pStyle w:val="Heading2"/>
      </w:pPr>
      <w:r>
        <w:t xml:space="preserve">4. Key Architectural Concepts</w:t>
      </w:r>
    </w:p>
    <w:bookmarkStart w:id="13" w:name="workflow-as-a-langgraph-stategraph"/>
    <w:p>
      <w:pPr>
        <w:pStyle w:val="Heading3"/>
      </w:pPr>
      <w:r>
        <w:t xml:space="preserve">4.1 Workflow as a LangGraph StateGraph</w:t>
      </w:r>
    </w:p>
    <w:p>
      <w:pPr>
        <w:pStyle w:val="FirstParagraph"/>
      </w:pPr>
      <w:r>
        <w:t xml:space="preserve">A saved workflow is a JSON document of</w:t>
      </w:r>
      <w:r>
        <w:t xml:space="preserve"> </w:t>
      </w:r>
      <w:r>
        <w:rPr>
          <w:rStyle w:val="VerbatimChar"/>
        </w:rPr>
        <w:t xml:space="preserve">nodes[]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edges[]</w:t>
      </w:r>
      <w:r>
        <w:t xml:space="preserve">. At execution time, the executor converts it to a LangGraph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Workflow JSON → StateGraph → compile → invoke/stream</w:t>
      </w:r>
    </w:p>
    <w:p>
      <w:pPr>
        <w:pStyle w:val="FirstParagraph"/>
      </w:pPr>
      <w:r>
        <w:t xml:space="preserve">Each node becomes a function in the graph. Edges become conditional or direct transitions. State is a shared object (</w:t>
      </w:r>
      <w:r>
        <w:rPr>
          <w:rStyle w:val="VerbatimChar"/>
        </w:rPr>
        <w:t xml:space="preserve">variables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nodeResults</w:t>
      </w:r>
      <w:r>
        <w:t xml:space="preserve">, etc.) that accumulates results.</w:t>
      </w:r>
    </w:p>
    <w:p>
      <w:pPr>
        <w:pStyle w:val="BodyText"/>
      </w:pPr>
      <w:r>
        <w:rPr>
          <w:b/>
          <w:bCs/>
        </w:rPr>
        <w:t xml:space="preserve">Key file to read first:</w:t>
      </w:r>
      <w:r>
        <w:t xml:space="preserve"> </w:t>
      </w:r>
      <w:hyperlink r:id="rId12">
        <w:r>
          <w:rPr>
            <w:rStyle w:val="VerbatimChar"/>
          </w:rPr>
          <w:t xml:space="preserve">lib/workflow/langgraph.ts</w:t>
        </w:r>
      </w:hyperlink>
      <w:r>
        <w:t xml:space="preserve"> </w:t>
      </w:r>
      <w:r>
        <w:t xml:space="preserve">(~1,400 lines). This is the heart of OAB. The Python port is ~80% of the engineering effort.</w:t>
      </w:r>
    </w:p>
    <w:bookmarkEnd w:id="13"/>
    <w:bookmarkStart w:id="14" w:name="execution-state"/>
    <w:p>
      <w:pPr>
        <w:pStyle w:val="Heading3"/>
      </w:pPr>
      <w:r>
        <w:t xml:space="preserve">4.2 Execution state</w:t>
      </w:r>
    </w:p>
    <w:p>
      <w:pPr>
        <w:pStyle w:val="FirstParagraph"/>
      </w:pPr>
      <w:r>
        <w:t xml:space="preserve">LangGraph state is append-only via reducers. Never mutate. Every node returns a partial state update that gets merged. This is critical for checkpointing (resume after human approval requires replay-safe state).</w:t>
      </w:r>
    </w:p>
    <w:bookmarkEnd w:id="14"/>
    <w:bookmarkStart w:id="15" w:name="checkpointing"/>
    <w:p>
      <w:pPr>
        <w:pStyle w:val="Heading3"/>
      </w:pPr>
      <w:r>
        <w:t xml:space="preserve">4.3 Checkpointing</w:t>
      </w:r>
    </w:p>
    <w:p>
      <w:pPr>
        <w:pStyle w:val="FirstParagraph"/>
      </w:pPr>
      <w:r>
        <w:t xml:space="preserve">OAB uses a Convex-based</w:t>
      </w:r>
      <w:r>
        <w:t xml:space="preserve"> </w:t>
      </w:r>
      <w:r>
        <w:rPr>
          <w:rStyle w:val="VerbatimChar"/>
        </w:rPr>
        <w:t xml:space="preserve">ConvexCheckpointSaver</w:t>
      </w:r>
      <w:r>
        <w:t xml:space="preserve"> </w:t>
      </w:r>
      <w:r>
        <w:t xml:space="preserve">(implements LangGraph’s checkpointer interface). For Composer: implement a</w:t>
      </w:r>
      <w:r>
        <w:t xml:space="preserve"> </w:t>
      </w:r>
      <w:r>
        <w:rPr>
          <w:b/>
          <w:bCs/>
        </w:rPr>
        <w:t xml:space="preserve">Postgres-based checkpointer</w:t>
      </w:r>
      <w:r>
        <w:t xml:space="preserve"> </w:t>
      </w:r>
      <w:r>
        <w:t xml:space="preserve">using SQLAlchemy. The interface is well-defined by LangGraph — 4 methods:</w:t>
      </w:r>
      <w:r>
        <w:t xml:space="preserve"> </w:t>
      </w:r>
      <w:r>
        <w:rPr>
          <w:rStyle w:val="VerbatimChar"/>
        </w:rPr>
        <w:t xml:space="preserve">put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put_writes</w:t>
      </w:r>
      <w:r>
        <w:t xml:space="preserve">.</w:t>
      </w:r>
    </w:p>
    <w:p>
      <w:pPr>
        <w:pStyle w:val="BodyText"/>
      </w:pPr>
      <w:r>
        <w:t xml:space="preserve">Schema delta (new Prisma tables):</w:t>
      </w:r>
    </w:p>
    <w:p>
      <w:pPr>
        <w:pStyle w:val="SourceCode"/>
      </w:pP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workflow_execution</w:t>
      </w:r>
      <w:r>
        <w:br/>
      </w:r>
      <w:r>
        <w:rPr>
          <w:rStyle w:val="VerbatimChar"/>
        </w:rPr>
        <w:t xml:space="preserve">langgraph_checkpoint</w:t>
      </w:r>
      <w:r>
        <w:br/>
      </w:r>
      <w:r>
        <w:rPr>
          <w:rStyle w:val="VerbatimChar"/>
        </w:rPr>
        <w:t xml:space="preserve">langgraph_checkpoint_write</w:t>
      </w:r>
      <w:r>
        <w:br/>
      </w:r>
      <w:r>
        <w:rPr>
          <w:rStyle w:val="VerbatimChar"/>
        </w:rPr>
        <w:t xml:space="preserve">mcp_oauth_token</w:t>
      </w:r>
      <w:r>
        <w:br/>
      </w:r>
      <w:r>
        <w:rPr>
          <w:rStyle w:val="VerbatimChar"/>
        </w:rPr>
        <w:t xml:space="preserve">mcp_oauth_state</w:t>
      </w:r>
      <w:r>
        <w:br/>
      </w:r>
      <w:r>
        <w:rPr>
          <w:rStyle w:val="VerbatimChar"/>
        </w:rPr>
        <w:t xml:space="preserve">approval</w:t>
      </w:r>
    </w:p>
    <w:bookmarkEnd w:id="15"/>
    <w:bookmarkStart w:id="16" w:name="real-time-execution-streaming"/>
    <w:p>
      <w:pPr>
        <w:pStyle w:val="Heading3"/>
      </w:pPr>
      <w:r>
        <w:t xml:space="preserve">4.4 Real-time execution streaming</w:t>
      </w:r>
    </w:p>
    <w:p>
      <w:pPr>
        <w:pStyle w:val="FirstParagraph"/>
      </w:pPr>
      <w:r>
        <w:t xml:space="preserve">Clients watch workflow execution via SSE. Every node transition emits events:</w:t>
      </w:r>
      <w:r>
        <w:t xml:space="preserve"> </w:t>
      </w:r>
      <w:r>
        <w:rPr>
          <w:rStyle w:val="VerbatimChar"/>
        </w:rPr>
        <w:t xml:space="preserve">workflow_started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 For Composer, map these to IE’s WebSocket protocol with SSE as a fallback for simple integrations.</w:t>
      </w:r>
    </w:p>
    <w:bookmarkEnd w:id="16"/>
    <w:bookmarkStart w:id="18" w:name="variable-substitution"/>
    <w:p>
      <w:pPr>
        <w:pStyle w:val="Heading3"/>
      </w:pPr>
      <w:r>
        <w:t xml:space="preserve">4.5 Variable substitution</w:t>
      </w:r>
    </w:p>
    <w:p>
      <w:pPr>
        <w:pStyle w:val="FirstParagraph"/>
      </w:pPr>
      <w:r>
        <w:t xml:space="preserve">OAB has a templating system:</w:t>
      </w:r>
      <w:r>
        <w:t xml:space="preserve"> </w:t>
      </w:r>
      <w:r>
        <w:rPr>
          <w:rStyle w:val="VerbatimChar"/>
        </w:rPr>
        <w:t xml:space="preserve">{{input.foo}}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{{lastOutput}}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{{nodeResults.node_3.output}}</w:t>
      </w:r>
      <w:r>
        <w:t xml:space="preserve">. Users reference these inside agent instructions, HTTP bodies, conditional expressions, etc. See</w:t>
      </w:r>
      <w:r>
        <w:t xml:space="preserve"> </w:t>
      </w:r>
      <w:hyperlink r:id="rId17">
        <w:r>
          <w:rPr>
            <w:rStyle w:val="VerbatimChar"/>
          </w:rPr>
          <w:t xml:space="preserve">lib/workflow/variable-substitution.ts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Direct port to Python</w:t>
      </w:r>
      <w:r>
        <w:t xml:space="preserve"> </w:t>
      </w:r>
      <w:r>
        <w:t xml:space="preserve">— no architectural change needed.</w:t>
      </w:r>
    </w:p>
    <w:bookmarkEnd w:id="18"/>
    <w:bookmarkStart w:id="19" w:name="safe-expression-evaluation"/>
    <w:p>
      <w:pPr>
        <w:pStyle w:val="Heading3"/>
      </w:pPr>
      <w:r>
        <w:t xml:space="preserve">4.6 Safe expression evaluation</w:t>
      </w:r>
    </w:p>
    <w:p>
      <w:pPr>
        <w:pStyle w:val="FirstParagraph"/>
      </w:pPr>
      <w:r>
        <w:rPr>
          <w:rStyle w:val="VerbatimChar"/>
        </w:rPr>
        <w:t xml:space="preserve">if-else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conditions, plus</w:t>
      </w:r>
      <w:r>
        <w:t xml:space="preserve"> </w:t>
      </w:r>
      <w:r>
        <w:rPr>
          <w:rStyle w:val="VerbatimChar"/>
        </w:rPr>
        <w:t xml:space="preserve">set-state</w:t>
      </w:r>
      <w:r>
        <w:t xml:space="preserve"> </w:t>
      </w:r>
      <w:r>
        <w:t xml:space="preserve">expressions, are evaluated via</w:t>
      </w:r>
      <w:r>
        <w:t xml:space="preserve"> </w:t>
      </w:r>
      <w:r>
        <w:rPr>
          <w:b/>
          <w:bCs/>
        </w:rPr>
        <w:t xml:space="preserve">mathjs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Function()</w:t>
      </w:r>
      <w:r>
        <w:t xml:space="preserve">) to prevent code injection. Python equivalent:</w:t>
      </w:r>
      <w:r>
        <w:t xml:space="preserve"> </w:t>
      </w:r>
      <w:r>
        <w:rPr>
          <w:rStyle w:val="VerbatimChar"/>
        </w:rPr>
        <w:t xml:space="preserve">simpleeval</w:t>
      </w:r>
      <w:r>
        <w:t xml:space="preserve"> </w:t>
      </w:r>
      <w:r>
        <w:t xml:space="preserve">or a restricted</w:t>
      </w:r>
      <w:r>
        <w:t xml:space="preserve"> </w:t>
      </w:r>
      <w:r>
        <w:rPr>
          <w:rStyle w:val="VerbatimChar"/>
        </w:rPr>
        <w:t xml:space="preserve">asteval</w:t>
      </w:r>
      <w:r>
        <w:t xml:space="preserve">. Never use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exec()</w:t>
      </w:r>
      <w:r>
        <w:t xml:space="preserve">.</w:t>
      </w:r>
    </w:p>
    <w:bookmarkEnd w:id="19"/>
    <w:bookmarkStart w:id="21" w:name="file-content-extraction"/>
    <w:p>
      <w:pPr>
        <w:pStyle w:val="Heading3"/>
      </w:pPr>
      <w:r>
        <w:t xml:space="preserve">4.7 File content extraction</w:t>
      </w:r>
    </w:p>
    <w:p>
      <w:pPr>
        <w:pStyle w:val="FirstParagraph"/>
      </w:pPr>
      <w:r>
        <w:t xml:space="preserve">Start nodes accept file uploads (PDF, DOCX, Markdown). OAB pre-fetches and extracts text content, injecting it into state as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text</w:t>
      </w:r>
      <w:r>
        <w:t xml:space="preserve">. See</w:t>
      </w:r>
      <w:r>
        <w:t xml:space="preserve"> </w:t>
      </w:r>
      <w:hyperlink r:id="rId20">
        <w:r>
          <w:rPr>
            <w:rStyle w:val="VerbatimChar"/>
          </w:rPr>
          <w:t xml:space="preserve">lib/workflow/file-utils.ts</w:t>
        </w:r>
      </w:hyperlink>
      <w:r>
        <w:t xml:space="preserve">. Python equivalent:</w:t>
      </w:r>
      <w:r>
        <w:t xml:space="preserve"> </w:t>
      </w:r>
      <w:r>
        <w:rPr>
          <w:rStyle w:val="VerbatimChar"/>
        </w:rPr>
        <w:t xml:space="preserve">pypdf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, built-in text reader.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mcp-integration-most-battle-tested-part"/>
    <w:p>
      <w:pPr>
        <w:pStyle w:val="Heading2"/>
      </w:pPr>
      <w:r>
        <w:t xml:space="preserve">5. MCP Integration (Most Battle-Tested Part)</w:t>
      </w:r>
    </w:p>
    <w:p>
      <w:pPr>
        <w:pStyle w:val="FirstParagraph"/>
      </w:pPr>
      <w:r>
        <w:t xml:space="preserve">OAB just completed an intense Highspot OAuth integration that surfaced 6 architectural bugs. All of these lessons must carry into the Python port:</w:t>
      </w:r>
    </w:p>
    <w:bookmarkStart w:id="23" w:name="oauth-2.0-support"/>
    <w:p>
      <w:pPr>
        <w:pStyle w:val="Heading3"/>
      </w:pPr>
      <w:r>
        <w:t xml:space="preserve">5.1 OAuth 2.0 support</w:t>
      </w:r>
    </w:p>
    <w:p>
      <w:pPr>
        <w:pStyle w:val="Compact"/>
        <w:numPr>
          <w:ilvl w:val="0"/>
          <w:numId w:val="1001"/>
        </w:numPr>
      </w:pPr>
      <w:r>
        <w:t xml:space="preserve">Authorization Code flow with</w:t>
      </w:r>
      <w:r>
        <w:t xml:space="preserve"> </w:t>
      </w:r>
      <w:r>
        <w:rPr>
          <w:b/>
          <w:bCs/>
        </w:rPr>
        <w:t xml:space="preserve">PKCE (S256)</w:t>
      </w:r>
    </w:p>
    <w:p>
      <w:pPr>
        <w:pStyle w:val="Compact"/>
        <w:numPr>
          <w:ilvl w:val="0"/>
          <w:numId w:val="1001"/>
        </w:numPr>
      </w:pPr>
      <w:r>
        <w:t xml:space="preserve">Client Credentials flow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RFC 8707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resource</w:t>
      </w:r>
      <w:r>
        <w:rPr>
          <w:b/>
          <w:bCs/>
        </w:rPr>
        <w:t xml:space="preserve"> </w:t>
      </w:r>
      <w:r>
        <w:rPr>
          <w:b/>
          <w:bCs/>
        </w:rPr>
        <w:t xml:space="preserve">parameter</w:t>
      </w:r>
      <w:r>
        <w:t xml:space="preserve"> </w:t>
      </w:r>
      <w:r>
        <w:t xml:space="preserve">— required by servers like Highspot; must be on authorization, token exchange, AND refresh requests</w:t>
      </w:r>
    </w:p>
    <w:p>
      <w:pPr>
        <w:pStyle w:val="Compact"/>
        <w:numPr>
          <w:ilvl w:val="0"/>
          <w:numId w:val="1001"/>
        </w:numPr>
      </w:pPr>
      <w:r>
        <w:t xml:space="preserve">Tokens encrypted with AES-256-GCM before storage</w:t>
      </w:r>
    </w:p>
    <w:p>
      <w:pPr>
        <w:pStyle w:val="Compact"/>
        <w:numPr>
          <w:ilvl w:val="0"/>
          <w:numId w:val="1001"/>
        </w:numPr>
      </w:pPr>
      <w:r>
        <w:t xml:space="preserve">Auto-refresh with 5-minute buffer before expiry</w:t>
      </w:r>
    </w:p>
    <w:bookmarkEnd w:id="23"/>
    <w:bookmarkStart w:id="25" w:name="X035940921aa3edac71b426063cb41751595a10d"/>
    <w:p>
      <w:pPr>
        <w:pStyle w:val="Heading3"/>
      </w:pPr>
      <w:r>
        <w:t xml:space="preserve">5.2 Manual tool calling (NOT Anthropic native</w:t>
      </w:r>
      <w:r>
        <w:t xml:space="preserve"> </w:t>
      </w:r>
      <w:r>
        <w:rPr>
          <w:rStyle w:val="VerbatimChar"/>
        </w:rPr>
        <w:t xml:space="preserve">mcp_servers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Critical learning:</w:t>
      </w:r>
      <w:r>
        <w:t xml:space="preserve"> </w:t>
      </w:r>
      <w:r>
        <w:t xml:space="preserve">Anthropic’s native</w:t>
      </w:r>
      <w:r>
        <w:t xml:space="preserve"> </w:t>
      </w:r>
      <w:r>
        <w:rPr>
          <w:rStyle w:val="VerbatimChar"/>
        </w:rPr>
        <w:t xml:space="preserve">mcp_servers</w:t>
      </w:r>
      <w:r>
        <w:t xml:space="preserve"> </w:t>
      </w:r>
      <w:r>
        <w:t xml:space="preserve">connector fails on servers returning large tool definitions (Highspot’s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exceeds 73K chars and triggers a JSON parse error).</w:t>
      </w:r>
      <w:r>
        <w:t xml:space="preserve"> </w:t>
      </w:r>
      <w:r>
        <w:rPr>
          <w:b/>
          <w:bCs/>
        </w:rPr>
        <w:t xml:space="preserve">Do not use native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mcp_servers</w:t>
      </w:r>
      <w:r>
        <w:rPr>
          <w:b/>
          <w:bCs/>
        </w:rPr>
        <w:t xml:space="preserve">.</w:t>
      </w:r>
      <w:r>
        <w:t xml:space="preserve"> </w:t>
      </w:r>
      <w:r>
        <w:t xml:space="preserve">Instead:</w:t>
      </w:r>
    </w:p>
    <w:p>
      <w:pPr>
        <w:pStyle w:val="Compact"/>
        <w:numPr>
          <w:ilvl w:val="0"/>
          <w:numId w:val="1002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ourselves via HTTP JSON-RPC</w:t>
      </w:r>
    </w:p>
    <w:p>
      <w:pPr>
        <w:pStyle w:val="Compact"/>
        <w:numPr>
          <w:ilvl w:val="0"/>
          <w:numId w:val="1002"/>
        </w:numPr>
      </w:pPr>
      <w:r>
        <w:t xml:space="preserve">Convert tool definitions to regular tool format</w:t>
      </w:r>
    </w:p>
    <w:p>
      <w:pPr>
        <w:pStyle w:val="Compact"/>
        <w:numPr>
          <w:ilvl w:val="0"/>
          <w:numId w:val="1002"/>
        </w:numPr>
      </w:pPr>
      <w:r>
        <w:t xml:space="preserve">Pass as normal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to the LLM</w:t>
      </w:r>
    </w:p>
    <w:p>
      <w:pPr>
        <w:pStyle w:val="Compact"/>
        <w:numPr>
          <w:ilvl w:val="0"/>
          <w:numId w:val="1002"/>
        </w:numPr>
      </w:pPr>
      <w:r>
        <w:t xml:space="preserve">Execute tool calls via HTTP JSON-RPC ourselves</w:t>
      </w:r>
    </w:p>
    <w:p>
      <w:pPr>
        <w:pStyle w:val="FirstParagraph"/>
      </w:pPr>
      <w:r>
        <w:t xml:space="preserve">This is the pattern in</w:t>
      </w:r>
      <w:r>
        <w:t xml:space="preserve"> </w:t>
      </w:r>
      <w:hyperlink r:id="rId24">
        <w:r>
          <w:rPr>
            <w:rStyle w:val="VerbatimChar"/>
          </w:rPr>
          <w:t xml:space="preserve">lib/workflow/executors/mcp-utils.ts</w:t>
        </w:r>
      </w:hyperlink>
      <w:r>
        <w:t xml:space="preserve">. Replicate in Python.</w:t>
      </w:r>
    </w:p>
    <w:bookmarkEnd w:id="25"/>
    <w:bookmarkStart w:id="26" w:name="tool-schema-mapping"/>
    <w:p>
      <w:pPr>
        <w:pStyle w:val="Heading3"/>
      </w:pPr>
      <w:r>
        <w:t xml:space="preserve">5.3 Tool schema mapping</w:t>
      </w:r>
    </w:p>
    <w:p>
      <w:pPr>
        <w:pStyle w:val="FirstParagraph"/>
      </w:pPr>
      <w:r>
        <w:t xml:space="preserve">MCP spec uses</w:t>
      </w:r>
      <w:r>
        <w:t xml:space="preserve"> </w:t>
      </w:r>
      <w:r>
        <w:rPr>
          <w:rStyle w:val="VerbatimChar"/>
        </w:rPr>
        <w:t xml:space="preserve">inputSchema</w:t>
      </w:r>
      <w:r>
        <w:t xml:space="preserve"> </w:t>
      </w:r>
      <w:r>
        <w:t xml:space="preserve">(camelCase). Support both</w:t>
      </w:r>
      <w:r>
        <w:t xml:space="preserve"> </w:t>
      </w:r>
      <w:r>
        <w:rPr>
          <w:rStyle w:val="VerbatimChar"/>
        </w:rPr>
        <w:t xml:space="preserve">inputSchema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input_schema</w:t>
      </w:r>
      <w:r>
        <w:t xml:space="preserve"> </w:t>
      </w:r>
      <w:r>
        <w:t xml:space="preserve">in the converter — different servers use different keys.</w:t>
      </w:r>
    </w:p>
    <w:bookmarkEnd w:id="26"/>
    <w:bookmarkStart w:id="27" w:name="provider-specific-tool-formats"/>
    <w:p>
      <w:pPr>
        <w:pStyle w:val="Heading3"/>
      </w:pPr>
      <w:r>
        <w:t xml:space="preserve">5.4 Provider-specific tool formats</w:t>
      </w:r>
    </w:p>
    <w:p>
      <w:pPr>
        <w:pStyle w:val="FirstParagraph"/>
      </w:pPr>
      <w:r>
        <w:t xml:space="preserve">Each LLM provider expects a different tool format. The executor maps between them:</w:t>
      </w:r>
      <w:r>
        <w:t xml:space="preserve"> </w:t>
      </w:r>
      <w:r>
        <w:t xml:space="preserve">- Anthropic:</w:t>
      </w:r>
      <w:r>
        <w:t xml:space="preserve"> </w:t>
      </w:r>
      <w:r>
        <w:rPr>
          <w:rStyle w:val="VerbatimChar"/>
        </w:rPr>
        <w:t xml:space="preserve">content[].type === 'tool_use'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field</w:t>
      </w:r>
      <w:r>
        <w:t xml:space="preserve"> </w:t>
      </w:r>
      <w:r>
        <w:t xml:space="preserve">- OpenAI/Groq:</w:t>
      </w:r>
      <w:r>
        <w:t xml:space="preserve"> </w:t>
      </w:r>
      <w:r>
        <w:rPr>
          <w:rStyle w:val="VerbatimChar"/>
        </w:rPr>
        <w:t xml:space="preserve">choices[0].message.tool_calls[]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function.arguments</w:t>
      </w:r>
      <w:r>
        <w:t xml:space="preserve"> </w:t>
      </w:r>
      <w:r>
        <w:t xml:space="preserve">JSON string</w:t>
      </w:r>
      <w:r>
        <w:t xml:space="preserve"> </w:t>
      </w:r>
      <w:r>
        <w:t xml:space="preserve">- Google:</w:t>
      </w:r>
      <w:r>
        <w:t xml:space="preserve"> </w:t>
      </w:r>
      <w:r>
        <w:rPr>
          <w:rStyle w:val="VerbatimChar"/>
        </w:rPr>
        <w:t xml:space="preserve">parts[].functionCall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args</w:t>
      </w:r>
      <w:r>
        <w:t xml:space="preserve"> </w:t>
      </w:r>
      <w:r>
        <w:t xml:space="preserve">field</w:t>
      </w:r>
    </w:p>
    <w:p>
      <w:pPr>
        <w:pStyle w:val="BodyText"/>
      </w:pPr>
      <w:r>
        <w:t xml:space="preserve">Python LangChain has this abstraction built-in via</w:t>
      </w:r>
      <w:r>
        <w:t xml:space="preserve"> </w:t>
      </w:r>
      <w:r>
        <w:rPr>
          <w:rStyle w:val="VerbatimChar"/>
        </w:rPr>
        <w:t xml:space="preserve">bind_tools()</w:t>
      </w:r>
      <w:r>
        <w:t xml:space="preserve"> </w:t>
      </w:r>
      <w:r>
        <w:t xml:space="preserve">on chat models.</w:t>
      </w:r>
    </w:p>
    <w:bookmarkEnd w:id="27"/>
    <w:bookmarkStart w:id="28" w:name="server-side-token-retrieval"/>
    <w:p>
      <w:pPr>
        <w:pStyle w:val="Heading3"/>
      </w:pPr>
      <w:r>
        <w:t xml:space="preserve">5.5 Server-side token retrieval</w:t>
      </w:r>
    </w:p>
    <w:p>
      <w:pPr>
        <w:pStyle w:val="FirstParagraph"/>
      </w:pPr>
      <w:r>
        <w:t xml:space="preserve">Never send OAuth tokens to the client. Test-connection and execution always retrieve tokens server-side from the DB. This is how we protect against token leakage and support auto-refresh transparently.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node-executors-port-priority"/>
    <w:p>
      <w:pPr>
        <w:pStyle w:val="Heading2"/>
      </w:pPr>
      <w:r>
        <w:t xml:space="preserve">6. Node Executors — Port Priority</w:t>
      </w:r>
    </w:p>
    <w:p>
      <w:pPr>
        <w:pStyle w:val="FirstParagraph"/>
      </w:pPr>
      <w:r>
        <w:t xml:space="preserve">Each node type has a dedicated executor in</w:t>
      </w:r>
      <w:r>
        <w:t xml:space="preserve"> </w:t>
      </w:r>
      <w:hyperlink r:id="rId30">
        <w:r>
          <w:rPr>
            <w:rStyle w:val="VerbatimChar"/>
          </w:rPr>
          <w:t xml:space="preserve">lib/workflow/executors/</w:t>
        </w:r>
      </w:hyperlink>
      <w:r>
        <w:t xml:space="preserve">. Port order recommendation: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Executor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agent.ts</w:t>
            </w:r>
          </w:p>
        </w:tc>
        <w:tc>
          <w:tcPr/>
          <w:p>
            <w:pPr>
              <w:pStyle w:val="Compact"/>
            </w:pPr>
            <w:r>
              <w:t xml:space="preserve">Largest; Python has better LangChain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mcp-utils.ts</w:t>
            </w:r>
          </w:p>
        </w:tc>
        <w:tc>
          <w:tcPr/>
          <w:p>
            <w:pPr>
              <w:pStyle w:val="Compact"/>
            </w:pPr>
            <w:r>
              <w:t xml:space="preserve">Port all OAuth/manual-calling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http.ts</w:t>
            </w:r>
          </w:p>
        </w:tc>
        <w:tc>
          <w:tcPr/>
          <w:p>
            <w:pPr>
              <w:pStyle w:val="Compact"/>
            </w:pPr>
            <w:r>
              <w:t xml:space="preserve">Straightforward; use</w:t>
            </w:r>
            <w:r>
              <w:t xml:space="preserve"> </w:t>
            </w:r>
            <w:r>
              <w:rPr>
                <w:rStyle w:val="VerbatimChar"/>
              </w:rPr>
              <w:t xml:space="preserve">httpx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extract.ts</w:t>
            </w:r>
          </w:p>
        </w:tc>
        <w:tc>
          <w:tcPr/>
          <w:p>
            <w:pPr>
              <w:pStyle w:val="Compact"/>
            </w:pPr>
            <w:r>
              <w:t xml:space="preserve">LLM structured output with Pydantic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data.ts</w:t>
            </w:r>
            <w:r>
              <w:t xml:space="preserve"> </w:t>
            </w:r>
            <w:r>
              <w:t xml:space="preserve">(transform)</w:t>
            </w:r>
          </w:p>
        </w:tc>
        <w:tc>
          <w:tcPr/>
          <w:p>
            <w:pPr>
              <w:pStyle w:val="Compact"/>
            </w:pPr>
            <w:r>
              <w:t xml:space="preserve">Uses E2B sandbox; E2B has Python SDK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logic.ts</w:t>
            </w:r>
            <w:r>
              <w:t xml:space="preserve"> </w:t>
            </w:r>
            <w:r>
              <w:t xml:space="preserve">(if-else, while)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simpleeval</w:t>
            </w:r>
            <w:r>
              <w:t xml:space="preserve"> </w:t>
            </w:r>
            <w:r>
              <w:t xml:space="preserve">for expressions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tool-factory.ts</w:t>
            </w:r>
          </w:p>
        </w:tc>
        <w:tc>
          <w:tcPr/>
          <w:p>
            <w:pPr>
              <w:pStyle w:val="Compact"/>
            </w:pPr>
            <w:r>
              <w:t xml:space="preserve">Firecrawl, Tavily, Serper, Gamma — all have Python SDKs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guardrails.ts</w:t>
            </w:r>
          </w:p>
        </w:tc>
        <w:tc>
          <w:tcPr/>
          <w:p>
            <w:pPr>
              <w:pStyle w:val="Compact"/>
            </w:pPr>
            <w:r>
              <w:t xml:space="preserve">Content moderation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vector-db.ts</w:t>
            </w:r>
          </w:p>
        </w:tc>
        <w:tc>
          <w:tcPr/>
          <w:p>
            <w:pPr>
              <w:pStyle w:val="Compact"/>
            </w:pPr>
            <w:r>
              <w:t xml:space="preserve">Pinecone/Qdrant/Weaviate/Chroma/Milvus — all Python-first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arcade.ts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gamma.ts</w:t>
            </w:r>
          </w:p>
        </w:tc>
        <w:tc>
          <w:tcPr/>
          <w:p>
            <w:pPr>
              <w:pStyle w:val="Compact"/>
            </w:pPr>
            <w:r>
              <w:t xml:space="preserve">Not core SDLC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security-architecture-must-carry-over"/>
    <w:p>
      <w:pPr>
        <w:pStyle w:val="Heading2"/>
      </w:pPr>
      <w:r>
        <w:t xml:space="preserve">7. Security Architecture (Must Carry Over)</w:t>
      </w:r>
    </w:p>
    <w:p>
      <w:pPr>
        <w:pStyle w:val="FirstParagraph"/>
      </w:pPr>
      <w:r>
        <w:t xml:space="preserve">Open Agent Builder has been through multiple security hardening passes. Critical patterns: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Zod validation</w:t>
      </w:r>
      <w:r>
        <w:t xml:space="preserve"> </w:t>
      </w:r>
      <w:r>
        <w:t xml:space="preserve">on all API inputs → use</w:t>
      </w:r>
      <w:r>
        <w:t xml:space="preserve"> </w:t>
      </w:r>
      <w:r>
        <w:rPr>
          <w:b/>
          <w:bCs/>
        </w:rPr>
        <w:t xml:space="preserve">Pydantic</w:t>
      </w:r>
      <w:r>
        <w:t xml:space="preserve"> </w:t>
      </w:r>
      <w:r>
        <w:t xml:space="preserve">in Python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SSRF protection</w:t>
      </w:r>
      <w:r>
        <w:t xml:space="preserve"> </w:t>
      </w:r>
      <w:r>
        <w:t xml:space="preserve">in HTTP node (block private IPs, metadata endpoints)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mathjs</w:t>
      </w:r>
      <w:r>
        <w:t xml:space="preserve"> </w:t>
      </w:r>
      <w:r>
        <w:t xml:space="preserve">for expressions (not</w:t>
      </w:r>
      <w:r>
        <w:t xml:space="preserve"> </w:t>
      </w:r>
      <w:r>
        <w:rPr>
          <w:rStyle w:val="VerbatimChar"/>
        </w:rPr>
        <w:t xml:space="preserve">eval</w:t>
      </w:r>
      <w:r>
        <w:t xml:space="preserve">) → use</w:t>
      </w:r>
      <w:r>
        <w:t xml:space="preserve"> </w:t>
      </w:r>
      <w:r>
        <w:rPr>
          <w:rStyle w:val="VerbatimChar"/>
        </w:rPr>
        <w:t xml:space="preserve">simpleeval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asteval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E2B sandboxes</w:t>
      </w:r>
      <w:r>
        <w:t xml:space="preserve"> </w:t>
      </w:r>
      <w:r>
        <w:t xml:space="preserve">for user-provided code → keep; has Python SDK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DOMPurify</w:t>
      </w:r>
      <w:r>
        <w:t xml:space="preserve"> </w:t>
      </w:r>
      <w:r>
        <w:t xml:space="preserve">on rendered HTML → use</w:t>
      </w:r>
      <w:r>
        <w:t xml:space="preserve"> </w:t>
      </w:r>
      <w:r>
        <w:rPr>
          <w:rStyle w:val="VerbatimChar"/>
        </w:rPr>
        <w:t xml:space="preserve">bleach</w:t>
      </w:r>
      <w:r>
        <w:t xml:space="preserve"> </w:t>
      </w:r>
      <w:r>
        <w:t xml:space="preserve">in Python where applicable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AES-256-GCM</w:t>
      </w:r>
      <w:r>
        <w:t xml:space="preserve"> </w:t>
      </w:r>
      <w:r>
        <w:t xml:space="preserve">for secret storage → Python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 </w:t>
      </w:r>
      <w:r>
        <w:t xml:space="preserve">library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Fail-closed auth</w:t>
      </w:r>
      <w:r>
        <w:t xml:space="preserve"> </w:t>
      </w:r>
      <w:r>
        <w:t xml:space="preserve">— when uncertain, deny; never fall back to unauthenticated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Prototype pollution protection</w:t>
      </w:r>
      <w:r>
        <w:t xml:space="preserve"> </w:t>
      </w:r>
      <w:r>
        <w:t xml:space="preserve">→ less of an issue in Python, but validate JSON inputs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Rate limiter</w:t>
      </w:r>
      <w:r>
        <w:t xml:space="preserve"> </w:t>
      </w:r>
      <w:r>
        <w:t xml:space="preserve">with fail-closed behavior on critical endpoints</w:t>
      </w:r>
    </w:p>
    <w:p>
      <w:r>
        <w:pict>
          <v:rect style="width:0;height:1.5pt" o:hralign="center" o:hrstd="t" o:hr="t"/>
        </w:pict>
      </w:r>
    </w:p>
    <w:bookmarkEnd w:id="32"/>
    <w:bookmarkStart w:id="35" w:name="llm-provider-specifics-gotchas"/>
    <w:p>
      <w:pPr>
        <w:pStyle w:val="Heading2"/>
      </w:pPr>
      <w:r>
        <w:t xml:space="preserve">8. LLM Provider Specifics (Gotchas)</w:t>
      </w:r>
    </w:p>
    <w:p>
      <w:pPr>
        <w:pStyle w:val="FirstParagraph"/>
      </w:pPr>
      <w:r>
        <w:t xml:space="preserve">Summarized in</w:t>
      </w:r>
      <w:r>
        <w:t xml:space="preserve"> </w:t>
      </w:r>
      <w:hyperlink r:id="rId33">
        <w:r>
          <w:rPr>
            <w:rStyle w:val="VerbatimChar"/>
          </w:rPr>
          <w:t xml:space="preserve">CLAUDE.md</w:t>
        </w:r>
      </w:hyperlink>
      <w:r>
        <w:t xml:space="preserve"> </w:t>
      </w:r>
      <w:r>
        <w:t xml:space="preserve">in detail. Key points: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Anthropic reasoning models</w:t>
      </w:r>
      <w:r>
        <w:t xml:space="preserve"> </w:t>
      </w:r>
      <w:r>
        <w:t xml:space="preserve">(o1, o3, gpt-5*) use</w:t>
      </w:r>
      <w:r>
        <w:t xml:space="preserve"> </w:t>
      </w:r>
      <w:r>
        <w:rPr>
          <w:rStyle w:val="VerbatimChar"/>
        </w:rPr>
        <w:t xml:space="preserve">max_completion_tokens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→ handled per-provider in OAB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Google Gemini</w:t>
      </w:r>
      <w:r>
        <w:t xml:space="preserve"> </w:t>
      </w:r>
      <w:r>
        <w:t xml:space="preserve">rejects tool schemas with non-standard fields (</w:t>
      </w:r>
      <w:r>
        <w:rPr>
          <w:rStyle w:val="VerbatimChar"/>
        </w:rPr>
        <w:t xml:space="preserve">examples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arguments</w:t>
      </w:r>
      <w:r>
        <w:t xml:space="preserve">) → must strip before sending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 IDs change frequently</w:t>
      </w:r>
      <w:r>
        <w:t xml:space="preserve"> </w:t>
      </w:r>
      <w:r>
        <w:t xml:space="preserve">— check official docs before updating. Current supported set is in</w:t>
      </w:r>
      <w:r>
        <w:t xml:space="preserve"> </w:t>
      </w:r>
      <w:hyperlink r:id="rId34">
        <w:r>
          <w:rPr>
            <w:rStyle w:val="VerbatimChar"/>
          </w:rPr>
          <w:t xml:space="preserve">lib/config/llm-config.ts</w:t>
        </w:r>
      </w:hyperlink>
    </w:p>
    <w:p>
      <w:pPr>
        <w:pStyle w:val="FirstParagraph"/>
      </w:pPr>
      <w:r>
        <w:rPr>
          <w:b/>
          <w:bCs/>
        </w:rPr>
        <w:t xml:space="preserve">Python LangChain equivalents: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ChatAnthropic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ChatOpenAI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ChatGoogleGenerativeAI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ChatGroq</w:t>
      </w:r>
      <w:r>
        <w:t xml:space="preserve"> </w:t>
      </w:r>
      <w:r>
        <w:t xml:space="preserve">- These handle most provider gotchas automatically, which is a strong argument for the Python port</w:t>
      </w:r>
    </w:p>
    <w:p>
      <w:r>
        <w:pict>
          <v:rect style="width:0;height:1.5pt" o:hralign="center" o:hrstd="t" o:hr="t"/>
        </w:pict>
      </w:r>
    </w:p>
    <w:bookmarkEnd w:id="35"/>
    <w:bookmarkStart w:id="36" w:name="what-not-to-port"/>
    <w:p>
      <w:pPr>
        <w:pStyle w:val="Heading2"/>
      </w:pPr>
      <w:r>
        <w:t xml:space="preserve">9. What NOT to Port</w:t>
      </w:r>
    </w:p>
    <w:p>
      <w:pPr>
        <w:pStyle w:val="FirstParagraph"/>
      </w:pPr>
      <w:r>
        <w:t xml:space="preserve">Drop these from Composer v1: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NextAuth.js + Azure AD auth layer</w:t>
      </w:r>
      <w:r>
        <w:t xml:space="preserve"> </w:t>
      </w:r>
      <w:r>
        <w:t xml:space="preserve">— IE has its own JWT auth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Convex-specific files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convex/</w:t>
      </w:r>
      <w:r>
        <w:t xml:space="preserve"> </w:t>
      </w:r>
      <w:r>
        <w:t xml:space="preserve">— rewrite as Prisma schema + FastAPI services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UI Builder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/ui-builder</w:t>
      </w:r>
      <w:r>
        <w:t xml:space="preserve"> </w:t>
      </w:r>
      <w:r>
        <w:t xml:space="preserve">route) — OAB’s drag-drop UI creator; interesting but not core for SDLC use case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Standalone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/workflow-runner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/ui-user-workflows</w:t>
      </w:r>
      <w:r>
        <w:rPr>
          <w:b/>
          <w:bCs/>
        </w:rPr>
        <w:t xml:space="preserve"> </w:t>
      </w:r>
      <w:r>
        <w:rPr>
          <w:b/>
          <w:bCs/>
        </w:rPr>
        <w:t xml:space="preserve">pages</w:t>
      </w:r>
      <w:r>
        <w:t xml:space="preserve"> </w:t>
      </w:r>
      <w:r>
        <w:t xml:space="preserve">— replaced by IE’s Cue chat UI or Chorus embed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Two-tier API key management UI</w:t>
      </w:r>
      <w:r>
        <w:t xml:space="preserve"> </w:t>
      </w:r>
      <w:r>
        <w:t xml:space="preserve">— replaced by IE’s tenant/user secret management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Standalone sign-in/sign-up pages</w:t>
      </w:r>
      <w:r>
        <w:t xml:space="preserve"> </w:t>
      </w:r>
      <w:r>
        <w:t xml:space="preserve">— IE auth handles this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Firecrawl-as-official-MCP</w:t>
      </w:r>
      <w:r>
        <w:t xml:space="preserve"> </w:t>
      </w:r>
      <w:r>
        <w:t xml:space="preserve">registry entry — IE has its own MCP management</w:t>
      </w:r>
    </w:p>
    <w:p>
      <w:r>
        <w:pict>
          <v:rect style="width:0;height:1.5pt" o:hralign="center" o:hrstd="t" o:hr="t"/>
        </w:pict>
      </w:r>
    </w:p>
    <w:bookmarkEnd w:id="36"/>
    <w:bookmarkStart w:id="37" w:name="the-must-preserve-list"/>
    <w:p>
      <w:pPr>
        <w:pStyle w:val="Heading2"/>
      </w:pPr>
      <w:r>
        <w:t xml:space="preserve">10. The</w:t>
      </w:r>
      <w:r>
        <w:t xml:space="preserve"> </w:t>
      </w:r>
      <w:r>
        <w:t xml:space="preserve">“Must Preserve”</w:t>
      </w:r>
      <w:r>
        <w:t xml:space="preserve"> </w:t>
      </w:r>
      <w:r>
        <w:t xml:space="preserve">List</w:t>
      </w:r>
    </w:p>
    <w:p>
      <w:pPr>
        <w:pStyle w:val="FirstParagraph"/>
      </w:pPr>
      <w:r>
        <w:t xml:space="preserve">Port these exactly — they are the product: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Visual workflow builder UI</w:t>
      </w:r>
      <w:r>
        <w:t xml:space="preserve"> </w:t>
      </w:r>
      <w:r>
        <w:t xml:space="preserve">— React Flow canvas, 15 node types, drag-drop, connect edges, save/load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LangGraph executor</w:t>
      </w:r>
      <w:r>
        <w:t xml:space="preserve"> </w:t>
      </w:r>
      <w:r>
        <w:t xml:space="preserve">— StateGraph construction from workflow JSON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MCP client with OAuth 2.0 support</w:t>
      </w:r>
      <w:r>
        <w:t xml:space="preserve"> </w:t>
      </w:r>
      <w:r>
        <w:t xml:space="preserve">— with all 6 fixes from April 2026 (RFC 8707 resource, manual tool calling, inputSchema mapping, server-side token retrieval, test-connection OAuth, resolver auth)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Real-time execution streaming</w:t>
      </w:r>
      <w:r>
        <w:t xml:space="preserve"> </w:t>
      </w:r>
      <w:r>
        <w:t xml:space="preserve">— SSE or WebSocket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Human-in-the-loop (user-approval node)</w:t>
      </w:r>
      <w:r>
        <w:t xml:space="preserve"> </w:t>
      </w:r>
      <w:r>
        <w:t xml:space="preserve">— including checkpoint/resume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Variable substitution</w:t>
      </w:r>
      <w:r>
        <w:t xml:space="preserve"> </w:t>
      </w:r>
      <w:r>
        <w:t xml:space="preserve">— templating engine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File extraction</w:t>
      </w:r>
      <w:r>
        <w:t xml:space="preserve"> </w:t>
      </w:r>
      <w:r>
        <w:t xml:space="preserve">— PDF, DOCX, Markdown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Multi-LLM support</w:t>
      </w:r>
      <w:r>
        <w:t xml:space="preserve"> </w:t>
      </w:r>
      <w:r>
        <w:t xml:space="preserve">— Claude/GPT/Gemini/Groq at minimum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Template library</w:t>
      </w:r>
      <w:r>
        <w:t xml:space="preserve"> </w:t>
      </w:r>
      <w:r>
        <w:t xml:space="preserve">— starter workflows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LangSmith tracing hookup</w:t>
      </w:r>
      <w:r>
        <w:t xml:space="preserve"> </w:t>
      </w:r>
      <w:r>
        <w:t xml:space="preserve">— configurable via IE’s secret management</w:t>
      </w:r>
    </w:p>
    <w:p>
      <w:r>
        <w:pict>
          <v:rect style="width:0;height:1.5pt" o:hralign="center" o:hrstd="t" o:hr="t"/>
        </w:pict>
      </w:r>
    </w:p>
    <w:bookmarkEnd w:id="37"/>
    <w:bookmarkStart w:id="43" w:name="X19b53afc760bfdd06139054808be79ca11429e2"/>
    <w:p>
      <w:pPr>
        <w:pStyle w:val="Heading2"/>
      </w:pPr>
      <w:r>
        <w:t xml:space="preserve">11. Critical Files for IE Engineers to Read First</w:t>
      </w:r>
    </w:p>
    <w:p>
      <w:pPr>
        <w:pStyle w:val="FirstParagraph"/>
      </w:pPr>
      <w:r>
        <w:t xml:space="preserve">Read in this order:</w:t>
      </w:r>
    </w:p>
    <w:p>
      <w:pPr>
        <w:pStyle w:val="Compact"/>
        <w:numPr>
          <w:ilvl w:val="0"/>
          <w:numId w:val="1007"/>
        </w:numPr>
      </w:pPr>
      <w:hyperlink r:id="rId33">
        <w:r>
          <w:rPr>
            <w:rStyle w:val="VerbatimChar"/>
          </w:rPr>
          <w:t xml:space="preserve">CLAUDE.md</w:t>
        </w:r>
      </w:hyperlink>
      <w:r>
        <w:t xml:space="preserve"> </w:t>
      </w:r>
      <w:r>
        <w:t xml:space="preserve">— project overview, conventions, LLM provider gotchas</w:t>
      </w:r>
    </w:p>
    <w:p>
      <w:pPr>
        <w:pStyle w:val="Compact"/>
        <w:numPr>
          <w:ilvl w:val="0"/>
          <w:numId w:val="1007"/>
        </w:numPr>
      </w:pPr>
      <w:hyperlink r:id="rId38">
        <w:r>
          <w:rPr>
            <w:rStyle w:val="VerbatimChar"/>
          </w:rPr>
          <w:t xml:space="preserve">lib/workflow/types.ts</w:t>
        </w:r>
      </w:hyperlink>
      <w:r>
        <w:t xml:space="preserve"> </w:t>
      </w:r>
      <w:r>
        <w:t xml:space="preserve">— workflow/node data model</w:t>
      </w:r>
    </w:p>
    <w:p>
      <w:pPr>
        <w:pStyle w:val="Compact"/>
        <w:numPr>
          <w:ilvl w:val="0"/>
          <w:numId w:val="1007"/>
        </w:numPr>
      </w:pPr>
      <w:hyperlink r:id="rId12">
        <w:r>
          <w:rPr>
            <w:rStyle w:val="VerbatimChar"/>
          </w:rPr>
          <w:t xml:space="preserve">lib/workflow/langgraph.ts</w:t>
        </w:r>
      </w:hyperlink>
      <w:r>
        <w:t xml:space="preserve"> </w:t>
      </w:r>
      <w:r>
        <w:t xml:space="preserve">— the executor (heart of the system)</w:t>
      </w:r>
    </w:p>
    <w:p>
      <w:pPr>
        <w:pStyle w:val="Compact"/>
        <w:numPr>
          <w:ilvl w:val="0"/>
          <w:numId w:val="1007"/>
        </w:numPr>
      </w:pPr>
      <w:hyperlink r:id="rId39">
        <w:r>
          <w:rPr>
            <w:rStyle w:val="VerbatimChar"/>
          </w:rPr>
          <w:t xml:space="preserve">lib/workflow/executors/agent.ts</w:t>
        </w:r>
      </w:hyperlink>
      <w:r>
        <w:t xml:space="preserve"> </w:t>
      </w:r>
      <w:r>
        <w:t xml:space="preserve">— agent node (the most complex executor)</w:t>
      </w:r>
    </w:p>
    <w:p>
      <w:pPr>
        <w:pStyle w:val="Compact"/>
        <w:numPr>
          <w:ilvl w:val="0"/>
          <w:numId w:val="1007"/>
        </w:numPr>
      </w:pPr>
      <w:hyperlink r:id="rId24">
        <w:r>
          <w:rPr>
            <w:rStyle w:val="VerbatimChar"/>
          </w:rPr>
          <w:t xml:space="preserve">lib/workflow/executors/mcp-utils.ts</w:t>
        </w:r>
      </w:hyperlink>
      <w:r>
        <w:t xml:space="preserve"> </w:t>
      </w:r>
      <w:r>
        <w:t xml:space="preserve">— MCP client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VerbatimChar"/>
          </w:rPr>
          <w:t xml:space="preserve">convex/schema.ts</w:t>
        </w:r>
      </w:hyperlink>
      <w:r>
        <w:t xml:space="preserve"> </w:t>
      </w:r>
      <w:r>
        <w:t xml:space="preserve">— data model to port to Prisma</w:t>
      </w:r>
    </w:p>
    <w:p>
      <w:pPr>
        <w:pStyle w:val="Compact"/>
        <w:numPr>
          <w:ilvl w:val="0"/>
          <w:numId w:val="1007"/>
        </w:numPr>
      </w:pPr>
      <w:hyperlink r:id="rId41">
        <w:r>
          <w:rPr>
            <w:rStyle w:val="VerbatimChar"/>
          </w:rPr>
          <w:t xml:space="preserve">convex/mcpOAuthTokensActions.ts</w:t>
        </w:r>
      </w:hyperlink>
      <w:r>
        <w:t xml:space="preserve"> </w:t>
      </w:r>
      <w:r>
        <w:t xml:space="preserve">— OAuth flows with all 6 April 2026 fixes</w:t>
      </w:r>
    </w:p>
    <w:p>
      <w:pPr>
        <w:pStyle w:val="Compact"/>
        <w:numPr>
          <w:ilvl w:val="0"/>
          <w:numId w:val="1007"/>
        </w:numPr>
      </w:pPr>
      <w:hyperlink r:id="rId42">
        <w:r>
          <w:rPr>
            <w:rStyle w:val="VerbatimChar"/>
          </w:rPr>
          <w:t xml:space="preserve">app/api/workflows/[workflowId]/execute-stream/route.ts</w:t>
        </w:r>
      </w:hyperlink>
      <w:r>
        <w:t xml:space="preserve"> </w:t>
      </w:r>
      <w:r>
        <w:t xml:space="preserve">— canonical execution entry point</w:t>
      </w:r>
    </w:p>
    <w:p>
      <w:r>
        <w:pict>
          <v:rect style="width:0;height:1.5pt" o:hralign="center" o:hrstd="t" o:hr="t"/>
        </w:pict>
      </w:r>
    </w:p>
    <w:bookmarkEnd w:id="43"/>
    <w:bookmarkStart w:id="44" w:name="testing"/>
    <w:p>
      <w:pPr>
        <w:pStyle w:val="Heading2"/>
      </w:pPr>
      <w:r>
        <w:t xml:space="preserve">12. Testing</w:t>
      </w:r>
    </w:p>
    <w:p>
      <w:pPr>
        <w:pStyle w:val="Compact"/>
        <w:numPr>
          <w:ilvl w:val="0"/>
          <w:numId w:val="1008"/>
        </w:numPr>
      </w:pPr>
      <w:r>
        <w:t xml:space="preserve">OAB uses</w:t>
      </w:r>
      <w:r>
        <w:t xml:space="preserve"> </w:t>
      </w:r>
      <w:r>
        <w:rPr>
          <w:b/>
          <w:bCs/>
        </w:rPr>
        <w:t xml:space="preserve">Playwright</w:t>
      </w:r>
      <w:r>
        <w:t xml:space="preserve"> </w:t>
      </w:r>
      <w:r>
        <w:t xml:space="preserve">for E2E; IE uses</w:t>
      </w:r>
      <w:r>
        <w:t xml:space="preserve"> </w:t>
      </w:r>
      <w:r>
        <w:rPr>
          <w:b/>
          <w:bCs/>
        </w:rPr>
        <w:t xml:space="preserve">Turbo + Vitest/Jest</w:t>
      </w:r>
      <w:r>
        <w:t xml:space="preserve"> </w:t>
      </w:r>
      <w:r>
        <w:t xml:space="preserve">mostly</w:t>
      </w:r>
    </w:p>
    <w:p>
      <w:pPr>
        <w:pStyle w:val="Compact"/>
        <w:numPr>
          <w:ilvl w:val="0"/>
          <w:numId w:val="1008"/>
        </w:numPr>
      </w:pPr>
      <w:r>
        <w:t xml:space="preserve">For Composer, use IE’s existing test infrastructure</w:t>
      </w:r>
    </w:p>
    <w:p>
      <w:pPr>
        <w:pStyle w:val="Compact"/>
        <w:numPr>
          <w:ilvl w:val="0"/>
          <w:numId w:val="1008"/>
        </w:numPr>
      </w:pPr>
      <w:r>
        <w:t xml:space="preserve">Reimplement the ~158 model regression tests in Python (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mocks)</w:t>
      </w:r>
    </w:p>
    <w:p>
      <w:pPr>
        <w:pStyle w:val="Compact"/>
        <w:numPr>
          <w:ilvl w:val="0"/>
          <w:numId w:val="1008"/>
        </w:numPr>
      </w:pPr>
      <w:r>
        <w:t xml:space="preserve">Security tests (ownership, fail-closed auth, rate limiter) should be re-created against FastAPI routes</w:t>
      </w:r>
    </w:p>
    <w:p>
      <w:r>
        <w:pict>
          <v:rect style="width:0;height:1.5pt" o:hralign="center" o:hrstd="t" o:hr="t"/>
        </w:pict>
      </w:r>
    </w:p>
    <w:bookmarkEnd w:id="44"/>
    <w:bookmarkStart w:id="45" w:name="X3e6e4e096aa3c1557f1c69474a29149c4a3ba0c"/>
    <w:p>
      <w:pPr>
        <w:pStyle w:val="Heading2"/>
      </w:pPr>
      <w:r>
        <w:t xml:space="preserve">13. Lessons from April 14-15 2026 (The Highspot Debug Session)</w:t>
      </w:r>
    </w:p>
    <w:p>
      <w:pPr>
        <w:pStyle w:val="FirstParagraph"/>
      </w:pPr>
      <w:r>
        <w:t xml:space="preserve">These six fixes took one long session to find. The Python port must include them from day one: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Where it surfaced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 8707</w:t>
            </w:r>
            <w:r>
              <w:t xml:space="preserve"> </w:t>
            </w:r>
            <w:r>
              <w:rPr>
                <w:rStyle w:val="VerbatimChar"/>
              </w:rPr>
              <w:t xml:space="preserve">resource</w:t>
            </w:r>
            <w:r>
              <w:t xml:space="preserve"> </w:t>
            </w:r>
            <w:r>
              <w:t xml:space="preserve">parameter required on token exchange + refresh, not just authorization</w:t>
            </w:r>
          </w:p>
        </w:tc>
        <w:tc>
          <w:tcPr/>
          <w:p>
            <w:pPr>
              <w:pStyle w:val="Compact"/>
            </w:pPr>
            <w:r>
              <w:t xml:space="preserve">Highspot rejecting token exchange with</w:t>
            </w:r>
            <w:r>
              <w:t xml:space="preserve"> </w:t>
            </w:r>
            <w:r>
              <w:t xml:space="preserve">“resource mismatch”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Test-connection endpoint must retrieve OAuth tokens from DB server-side for OAuth-type servers</w:t>
            </w:r>
          </w:p>
        </w:tc>
        <w:tc>
          <w:tcPr/>
          <w:p>
            <w:pPr>
              <w:pStyle w:val="Compact"/>
            </w:pPr>
            <w:r>
              <w:t xml:space="preserve">“Authentication failed - check access token”</w:t>
            </w:r>
            <w:r>
              <w:t xml:space="preserve"> </w:t>
            </w:r>
            <w:r>
              <w:t xml:space="preserve">on connection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Unauthenticated Convex clients silently fail auth-required queries, returning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  <w:r>
              <w:t xml:space="preserve"> </w:t>
            </w:r>
            <w:r>
              <w:t xml:space="preserve">“hallucinating”</w:t>
            </w:r>
            <w:r>
              <w:t xml:space="preserve"> </w:t>
            </w:r>
            <w:r>
              <w:t xml:space="preserve">tool calls because no tools were injected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Anthropic’s native</w:t>
            </w:r>
            <w:r>
              <w:t xml:space="preserve"> </w:t>
            </w:r>
            <w:r>
              <w:rPr>
                <w:rStyle w:val="VerbatimChar"/>
              </w:rPr>
              <w:t xml:space="preserve">mcp_servers</w:t>
            </w:r>
            <w:r>
              <w:t xml:space="preserve"> </w:t>
            </w:r>
            <w:r>
              <w:t xml:space="preserve">connector breaks on large tool definitions</w:t>
            </w:r>
          </w:p>
        </w:tc>
        <w:tc>
          <w:tcPr/>
          <w:p>
            <w:pPr>
              <w:pStyle w:val="Compact"/>
            </w:pPr>
            <w:r>
              <w:t xml:space="preserve">Highspot’s tools/list (73K chars) caused JSON parse error at column 73579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spec uses</w:t>
            </w:r>
            <w:r>
              <w:t xml:space="preserve"> </w:t>
            </w:r>
            <w:r>
              <w:rPr>
                <w:rStyle w:val="VerbatimChar"/>
              </w:rPr>
              <w:t xml:space="preserve">inputSchema</w:t>
            </w:r>
            <w:r>
              <w:t xml:space="preserve"> </w:t>
            </w:r>
            <w:r>
              <w:t xml:space="preserve">(camelCase) — must support alongside</w:t>
            </w:r>
            <w:r>
              <w:t xml:space="preserve"> </w:t>
            </w:r>
            <w:r>
              <w:rPr>
                <w:rStyle w:val="VerbatimChar"/>
              </w:rPr>
              <w:t xml:space="preserve">schema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input_schema</w:t>
            </w:r>
          </w:p>
        </w:tc>
        <w:tc>
          <w:tcPr/>
          <w:p>
            <w:pPr>
              <w:pStyle w:val="Compact"/>
            </w:pPr>
            <w:r>
              <w:t xml:space="preserve">Tool parameters coming through 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LangSmith config must be explicitly threaded through execution, not relied on from</w:t>
            </w:r>
            <w:r>
              <w:t xml:space="preserve"> </w:t>
            </w:r>
            <w:r>
              <w:rPr>
                <w:rStyle w:val="VerbatimChar"/>
              </w:rPr>
              <w:t xml:space="preserve">process.env</w:t>
            </w:r>
            <w:r>
              <w:t xml:space="preserve"> </w:t>
            </w:r>
            <w:r>
              <w:t xml:space="preserve">in production</w:t>
            </w:r>
          </w:p>
        </w:tc>
        <w:tc>
          <w:tcPr/>
          <w:p>
            <w:pPr>
              <w:pStyle w:val="Compact"/>
            </w:pPr>
            <w:r>
              <w:t xml:space="preserve">Tracing silently disabled in production</w:t>
            </w:r>
          </w:p>
        </w:tc>
      </w:tr>
    </w:tbl>
    <w:p>
      <w:pPr>
        <w:pStyle w:val="BodyText"/>
      </w:pPr>
      <w:r>
        <w:t xml:space="preserve">See the full commit history around April 14-15 2026 for context.</w:t>
      </w:r>
    </w:p>
    <w:p>
      <w:r>
        <w:pict>
          <v:rect style="width:0;height:1.5pt" o:hralign="center" o:hrstd="t" o:hr="t"/>
        </w:pict>
      </w:r>
    </w:p>
    <w:bookmarkEnd w:id="45"/>
    <w:bookmarkStart w:id="46" w:name="glossary"/>
    <w:p>
      <w:pPr>
        <w:pStyle w:val="Heading2"/>
      </w:pPr>
      <w:r>
        <w:t xml:space="preserve">14. Glossary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MCP</w:t>
      </w:r>
      <w:r>
        <w:t xml:space="preserve"> </w:t>
      </w:r>
      <w:r>
        <w:t xml:space="preserve">— Model Context Protocol; standardized way for LLMs to call external tools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LangGraph</w:t>
      </w:r>
      <w:r>
        <w:t xml:space="preserve"> </w:t>
      </w:r>
      <w:r>
        <w:t xml:space="preserve">— Stateful multi-actor orchestration framework (LangChain family)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StateGraph</w:t>
      </w:r>
      <w:r>
        <w:t xml:space="preserve"> </w:t>
      </w:r>
      <w:r>
        <w:t xml:space="preserve">— LangGraph’s core abstraction; nodes + edges + state reducer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Checkpointer</w:t>
      </w:r>
      <w:r>
        <w:t xml:space="preserve"> </w:t>
      </w:r>
      <w:r>
        <w:t xml:space="preserve">— Persistence layer for LangGraph state between executions (required for human-in-the-loop)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SSE</w:t>
      </w:r>
      <w:r>
        <w:t xml:space="preserve"> </w:t>
      </w:r>
      <w:r>
        <w:t xml:space="preserve">— Server-Sent Events; one-way streaming from server to client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OAuth 2.0 Authorization Code with PKCE</w:t>
      </w:r>
      <w:r>
        <w:t xml:space="preserve"> </w:t>
      </w:r>
      <w:r>
        <w:t xml:space="preserve">— Standard user-facing OAuth flow with code verifier (recommended for MCP)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RFC 8707</w:t>
      </w:r>
      <w:r>
        <w:t xml:space="preserve"> </w:t>
      </w:r>
      <w:r>
        <w:t xml:space="preserve">— OAuth 2.0 Resource Indicators; required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 </w:t>
      </w:r>
      <w:r>
        <w:t xml:space="preserve">param on authorization and token endpoints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Two-tier API keys</w:t>
      </w:r>
      <w:r>
        <w:t xml:space="preserve"> </w:t>
      </w:r>
      <w:r>
        <w:t xml:space="preserve">— User-specific keys override system-wide fallback keys (pattern throughout OAB)</w:t>
      </w:r>
    </w:p>
    <w:p>
      <w:r>
        <w:pict>
          <v:rect style="width:0;height:1.5pt" o:hralign="center" o:hrstd="t" o:hr="t"/>
        </w:pict>
      </w:r>
    </w:p>
    <w:bookmarkEnd w:id="46"/>
    <w:bookmarkStart w:id="47" w:name="appendix-recommended-python-libraries"/>
    <w:p>
      <w:pPr>
        <w:pStyle w:val="Heading2"/>
      </w:pPr>
      <w:r>
        <w:t xml:space="preserve">Appendix: Recommended Python Libraries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framework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orchestration</w:t>
            </w:r>
          </w:p>
        </w:tc>
        <w:tc>
          <w:tcPr/>
          <w:p>
            <w:pPr>
              <w:pStyle w:val="Compact"/>
            </w:pPr>
            <w:r>
              <w:t xml:space="preserve">LangGraph (</w:t>
            </w:r>
            <w:r>
              <w:rPr>
                <w:rStyle w:val="VerbatimChar"/>
              </w:rPr>
              <w:t xml:space="preserve">langgraph</w:t>
            </w:r>
            <w:r>
              <w:t xml:space="preserve">), LangChain (</w:t>
            </w:r>
            <w:r>
              <w:rPr>
                <w:rStyle w:val="VerbatimChar"/>
              </w:rPr>
              <w:t xml:space="preserve">langchain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langchain-anthropic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langchain-openai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langchain-google-genai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langchain-groq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 ORM</w:t>
            </w:r>
          </w:p>
        </w:tc>
        <w:tc>
          <w:tcPr/>
          <w:p>
            <w:pPr>
              <w:pStyle w:val="Compact"/>
            </w:pPr>
            <w:r>
              <w:t xml:space="preserve">SQLAlchemy or Prisma Python (prefer SQLAlchemy for LangGraph checkpointer compatibility)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cryptography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Pydantic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 expressions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extraction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 extraction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python-docx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sandbox</w:t>
            </w:r>
          </w:p>
        </w:tc>
        <w:tc>
          <w:tcPr/>
          <w:p>
            <w:pPr>
              <w:pStyle w:val="Compact"/>
            </w:pPr>
            <w:r>
              <w:t xml:space="preserve">E2B Python SDK (</w:t>
            </w:r>
            <w:r>
              <w:rPr>
                <w:rStyle w:val="VerbatimChar"/>
              </w:rPr>
              <w:t xml:space="preserve">e2b_code_interpreter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FastAPI built-in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LangSmith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langsmith</w:t>
            </w:r>
          </w:p>
        </w:tc>
      </w:tr>
    </w:tbl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../../../CLAUDE.md" TargetMode="External" /><Relationship Type="http://schemas.openxmlformats.org/officeDocument/2006/relationships/hyperlink" Id="rId42" Target="../../../app/api/workflows/%5BworkflowId%5D/execute-stream/route.ts" TargetMode="External" /><Relationship Type="http://schemas.openxmlformats.org/officeDocument/2006/relationships/hyperlink" Id="rId41" Target="../../../convex/mcpOAuthTokensActions.ts" TargetMode="External" /><Relationship Type="http://schemas.openxmlformats.org/officeDocument/2006/relationships/hyperlink" Id="rId40" Target="../../../convex/schema.ts" TargetMode="External" /><Relationship Type="http://schemas.openxmlformats.org/officeDocument/2006/relationships/hyperlink" Id="rId34" Target="../../../lib/config/llm-config.ts" TargetMode="External" /><Relationship Type="http://schemas.openxmlformats.org/officeDocument/2006/relationships/hyperlink" Id="rId30" Target="../../../lib/workflow/executors/" TargetMode="External" /><Relationship Type="http://schemas.openxmlformats.org/officeDocument/2006/relationships/hyperlink" Id="rId39" Target="../../../lib/workflow/executors/agent.ts" TargetMode="External" /><Relationship Type="http://schemas.openxmlformats.org/officeDocument/2006/relationships/hyperlink" Id="rId24" Target="../../../lib/workflow/executors/mcp-utils.ts" TargetMode="External" /><Relationship Type="http://schemas.openxmlformats.org/officeDocument/2006/relationships/hyperlink" Id="rId20" Target="../../../lib/workflow/file-utils.ts" TargetMode="External" /><Relationship Type="http://schemas.openxmlformats.org/officeDocument/2006/relationships/hyperlink" Id="rId12" Target="../../../lib/workflow/langgraph.ts" TargetMode="External" /><Relationship Type="http://schemas.openxmlformats.org/officeDocument/2006/relationships/hyperlink" Id="rId38" Target="../../../lib/workflow/types.ts" TargetMode="External" /><Relationship Type="http://schemas.openxmlformats.org/officeDocument/2006/relationships/hyperlink" Id="rId17" Target="../../../lib/workflow/variable-substitution.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../../../CLAUDE.md" TargetMode="External" /><Relationship Type="http://schemas.openxmlformats.org/officeDocument/2006/relationships/hyperlink" Id="rId42" Target="../../../app/api/workflows/%5BworkflowId%5D/execute-stream/route.ts" TargetMode="External" /><Relationship Type="http://schemas.openxmlformats.org/officeDocument/2006/relationships/hyperlink" Id="rId41" Target="../../../convex/mcpOAuthTokensActions.ts" TargetMode="External" /><Relationship Type="http://schemas.openxmlformats.org/officeDocument/2006/relationships/hyperlink" Id="rId40" Target="../../../convex/schema.ts" TargetMode="External" /><Relationship Type="http://schemas.openxmlformats.org/officeDocument/2006/relationships/hyperlink" Id="rId34" Target="../../../lib/config/llm-config.ts" TargetMode="External" /><Relationship Type="http://schemas.openxmlformats.org/officeDocument/2006/relationships/hyperlink" Id="rId30" Target="../../../lib/workflow/executors/" TargetMode="External" /><Relationship Type="http://schemas.openxmlformats.org/officeDocument/2006/relationships/hyperlink" Id="rId39" Target="../../../lib/workflow/executors/agent.ts" TargetMode="External" /><Relationship Type="http://schemas.openxmlformats.org/officeDocument/2006/relationships/hyperlink" Id="rId24" Target="../../../lib/workflow/executors/mcp-utils.ts" TargetMode="External" /><Relationship Type="http://schemas.openxmlformats.org/officeDocument/2006/relationships/hyperlink" Id="rId20" Target="../../../lib/workflow/file-utils.ts" TargetMode="External" /><Relationship Type="http://schemas.openxmlformats.org/officeDocument/2006/relationships/hyperlink" Id="rId12" Target="../../../lib/workflow/langgraph.ts" TargetMode="External" /><Relationship Type="http://schemas.openxmlformats.org/officeDocument/2006/relationships/hyperlink" Id="rId38" Target="../../../lib/workflow/types.ts" TargetMode="External" /><Relationship Type="http://schemas.openxmlformats.org/officeDocument/2006/relationships/hyperlink" Id="rId17" Target="../../../lib/workflow/variable-substitution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2026-04-15T10:59:05Z</dcterms:created>
  <dcterms:modified xsi:type="dcterms:W3CDTF">2026-04-15T10:59:05Z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