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pPr>
      <w:r>
        <w:t xml:space="preserve">Internal Opportunity Brief</w:t>
      </w:r>
    </w:p>
    <w:p>
      <w:pPr>
        <w:pStyle w:val="Heading2"/>
        <w:spacing w:before="400" w:after="200"/>
      </w:pPr>
      <w:r>
        <w:t xml:space="preserve">Client Snapshot</w:t>
      </w:r>
    </w:p>
    <w:p>
      <w:pPr>
        <w:spacing w:after="200"/>
      </w:pPr>
      <w:r>
        <w:t xml:space="preserve">Diageo operates in the alcoholic beverages industry and seeks to maintain category leadership by driving unit sales through enhanced product visibility and compliance across ecommerce retailers like Walmart, Kroger, Amazon, and Instacart. Although ecommerce currently constitutes a small share of Diageo's sales, its potential for growth—both in North America and globally—is pivotal for driving both online awareness and offline sales.</w:t>
      </w:r>
    </w:p>
    <w:p>
      <w:pPr>
        <w:spacing w:after="200"/>
      </w:pPr>
      <w:r>
        <w:t xml:space="preserve">Key stakeholders include:</w:t>
      </w:r>
    </w:p>
    <w:p>
      <w:pPr>
        <w:pStyle w:val="ListParagraph"/>
        <w:numPr>
          <w:ilvl w:val="0"/>
          <w:numId w:val="1"/>
        </w:numPr>
        <w:spacing w:after="120"/>
      </w:pPr>
      <w:r>
        <w:t xml:space="preserve">Emma Gallagher</w:t>
      </w:r>
      <w:r>
        <w:t xml:space="preserve"> — Director, Ecommerce Acceleration (High decision power)</w:t>
      </w:r>
    </w:p>
    <w:p>
      <w:pPr>
        <w:pStyle w:val="ListParagraph"/>
        <w:numPr>
          <w:ilvl w:val="0"/>
          <w:numId w:val="1"/>
        </w:numPr>
        <w:spacing w:after="120"/>
      </w:pPr>
      <w:r>
        <w:t xml:space="preserve">Michael O’Brien</w:t>
      </w:r>
      <w:r>
        <w:t xml:space="preserve"> — Sr Manager, Digital Shelf Optimization (Medium decision power)</w:t>
      </w:r>
    </w:p>
    <w:p>
      <w:pPr>
        <w:pStyle w:val="ListParagraph"/>
        <w:numPr>
          <w:ilvl w:val="0"/>
          <w:numId w:val="1"/>
        </w:numPr>
        <w:spacing w:after="120"/>
      </w:pPr>
      <w:r>
        <w:t xml:space="preserve">Priya Nandakumar</w:t>
      </w:r>
      <w:r>
        <w:t xml:space="preserve"> — Marketing Operations Lead (Medium decision power)</w:t>
      </w:r>
    </w:p>
    <w:p>
      <w:pPr>
        <w:pStyle w:val="ListParagraph"/>
        <w:numPr>
          <w:ilvl w:val="0"/>
          <w:numId w:val="1"/>
        </w:numPr>
        <w:spacing w:after="120"/>
      </w:pPr>
      <w:r>
        <w:t xml:space="preserve">Daniel Rodriguez</w:t>
      </w:r>
      <w:r>
        <w:t xml:space="preserve"> — Technical Product Owner, Stibo MDM (Medium decision power)</w:t>
      </w:r>
    </w:p>
    <w:p>
      <w:pPr>
        <w:pStyle w:val="ListParagraph"/>
        <w:numPr>
          <w:ilvl w:val="0"/>
          <w:numId w:val="1"/>
        </w:numPr>
        <w:spacing w:after="120"/>
      </w:pPr>
      <w:r>
        <w:t xml:space="preserve">Sarah McLeod</w:t>
      </w:r>
      <w:r>
        <w:t xml:space="preserve"> — Legal &amp; Regulatory Manager (Low/Medium decision power)</w:t>
      </w:r>
    </w:p>
    <w:p>
      <w:pPr>
        <w:pStyle w:val="ListParagraph"/>
        <w:numPr>
          <w:ilvl w:val="0"/>
          <w:numId w:val="1"/>
        </w:numPr>
        <w:spacing w:after="120"/>
      </w:pPr>
      <w:r>
        <w:t xml:space="preserve">Jason Miller</w:t>
      </w:r>
      <w:r>
        <w:t xml:space="preserve"> — Retail Media Partner Manager (Low decision power)</w:t>
      </w:r>
    </w:p>
    <w:p>
      <w:pPr>
        <w:pStyle w:val="Heading2"/>
        <w:spacing w:before="400" w:after="200"/>
      </w:pPr>
      <w:r>
        <w:t xml:space="preserve">Pain Points &amp; Opportunity Areas</w:t>
      </w:r>
    </w:p>
    <w:p>
      <w:pPr>
        <w:pStyle w:val="ListParagraph"/>
        <w:numPr>
          <w:ilvl w:val="0"/>
          <w:numId w:val="2"/>
        </w:numPr>
        <w:spacing w:after="120"/>
      </w:pPr>
      <w:r>
        <w:t xml:space="preserve">"We spend too much time reworking product descriptions rejected by retailers." — </w:t>
      </w:r>
      <w:r>
        <w:t xml:space="preserve">Michael O’Brien</w:t>
      </w:r>
    </w:p>
    <w:p>
      <w:pPr>
        <w:pStyle w:val="ListParagraph"/>
        <w:numPr>
          <w:ilvl w:val="0"/>
          <w:numId w:val="2"/>
        </w:numPr>
        <w:spacing w:after="120"/>
      </w:pPr>
      <w:r>
        <w:t xml:space="preserve">"Marketers need a tool that simplifies everything. No prompt engineering." — </w:t>
      </w:r>
      <w:r>
        <w:t xml:space="preserve">Priya Nandakumar</w:t>
      </w:r>
    </w:p>
    <w:p>
      <w:pPr>
        <w:pStyle w:val="ListParagraph"/>
        <w:numPr>
          <w:ilvl w:val="0"/>
          <w:numId w:val="2"/>
        </w:numPr>
        <w:spacing w:after="120"/>
      </w:pPr>
      <w:r>
        <w:t xml:space="preserve">"Integration with Stibo must be clean. No disruptions." — </w:t>
      </w:r>
      <w:r>
        <w:t xml:space="preserve">Daniel Rodriguez</w:t>
      </w:r>
    </w:p>
    <w:p>
      <w:pPr>
        <w:pStyle w:val="ListParagraph"/>
        <w:numPr>
          <w:ilvl w:val="0"/>
          <w:numId w:val="2"/>
        </w:numPr>
        <w:spacing w:after="120"/>
      </w:pPr>
      <w:r>
        <w:t xml:space="preserve">"AI must not introduce risky claims or break compliance rules." — </w:t>
      </w:r>
      <w:r>
        <w:t xml:space="preserve">Sarah McLeod</w:t>
      </w:r>
    </w:p>
    <w:p>
      <w:pPr>
        <w:pStyle w:val="ListParagraph"/>
        <w:numPr>
          <w:ilvl w:val="0"/>
          <w:numId w:val="2"/>
        </w:numPr>
        <w:spacing w:after="120"/>
      </w:pPr>
      <w:r>
        <w:t xml:space="preserve">"Retailers change requirements frequently; system must adapt." — </w:t>
      </w:r>
      <w:r>
        <w:t xml:space="preserve">Jason Miller</w:t>
      </w:r>
    </w:p>
    <w:p>
      <w:pPr>
        <w:spacing w:after="200"/>
      </w:pPr>
      <w:r>
        <w:t xml:space="preserve">Key Opportunity Areas:</w:t>
      </w:r>
    </w:p>
    <w:p>
      <w:pPr>
        <w:pStyle w:val="ListParagraph"/>
        <w:numPr>
          <w:ilvl w:val="0"/>
          <w:numId w:val="1"/>
        </w:numPr>
        <w:spacing w:after="120"/>
      </w:pPr>
      <w:r>
        <w:t xml:space="preserve">Optimize product descriptions to enhance search rank—a crucial KPI.</w:t>
      </w:r>
    </w:p>
    <w:p>
      <w:pPr>
        <w:pStyle w:val="ListParagraph"/>
        <w:numPr>
          <w:ilvl w:val="0"/>
          <w:numId w:val="1"/>
        </w:numPr>
        <w:spacing w:after="120"/>
      </w:pPr>
      <w:r>
        <w:t xml:space="preserve">Simplify the description creation process to free up resources for strategic initiatives.</w:t>
      </w:r>
    </w:p>
    <w:p>
      <w:pPr>
        <w:pStyle w:val="ListParagraph"/>
        <w:numPr>
          <w:ilvl w:val="0"/>
          <w:numId w:val="1"/>
        </w:numPr>
        <w:spacing w:after="120"/>
      </w:pPr>
      <w:r>
        <w:t xml:space="preserve">Reduce non-compliance incidences to avoid penalties and rework.</w:t>
      </w:r>
    </w:p>
    <w:p>
      <w:pPr>
        <w:pStyle w:val="Heading2"/>
        <w:spacing w:before="400" w:after="200"/>
      </w:pPr>
      <w:r>
        <w:t xml:space="preserve">Our Angle of Attack</w:t>
      </w:r>
    </w:p>
    <w:p>
      <w:pPr>
        <w:spacing w:after="200"/>
      </w:pPr>
      <w:r>
        <w:t xml:space="preserve">Our proposal leverages a GenAI-powered application, Smart Shelf, to enrich product descriptions and optimize search rank. This directly aligns with Diageo's need to improve visibility, discoverability, and compliance across online marketplaces. By employing Generative AI, we aim to reduce the time and cost associated with creating retailer-optimized descriptions and minimize compliance risks.</w:t>
      </w:r>
    </w:p>
    <w:p>
      <w:pPr>
        <w:spacing w:after="200"/>
      </w:pPr>
      <w:r>
        <w:t xml:space="preserve">Our differentiated approach, validated through the POC with Bounteous, is timely as it not only addresses Diageo's KPIs like search rank and sales improvement but also supports marketers with an easy-to-use, low-risk tool. The MVP initiative is their opportunity to validate the efficacy of the GenAI solution and unlock broader business impact.</w:t>
      </w:r>
    </w:p>
    <w:p>
      <w:pPr>
        <w:pStyle w:val="Heading2"/>
        <w:spacing w:before="400" w:after="200"/>
      </w:pPr>
      <w:r>
        <w:t xml:space="preserve">Known Competitors &amp; Positioning Strategy</w:t>
      </w:r>
    </w:p>
    <w:p>
      <w:pPr>
        <w:pStyle w:val="ListParagraph"/>
        <w:numPr>
          <w:ilvl w:val="0"/>
          <w:numId w:val="1"/>
        </w:numPr>
        <w:spacing w:after="120"/>
      </w:pPr>
      <w:r>
        <w:t xml:space="preserve">Accenture Interactive</w:t>
      </w:r>
      <w:r>
        <w:t xml:space="preserve">: Likely to position on integrated digital transformations.</w:t>
      </w:r>
    </w:p>
    <w:p>
      <w:pPr>
        <w:pStyle w:val="ListParagraph"/>
        <w:numPr>
          <w:ilvl w:val="0"/>
          <w:numId w:val="1"/>
        </w:numPr>
        <w:spacing w:after="120"/>
      </w:pPr>
      <w:r>
        <w:t xml:space="preserve">Publicis Sapient</w:t>
      </w:r>
      <w:r>
        <w:t xml:space="preserve">: May focus on innovative ecommerce solutions with a strong tech backbone.</w:t>
      </w:r>
    </w:p>
    <w:p>
      <w:pPr>
        <w:pStyle w:val="ListParagraph"/>
        <w:numPr>
          <w:ilvl w:val="0"/>
          <w:numId w:val="1"/>
        </w:numPr>
        <w:spacing w:after="120"/>
      </w:pPr>
      <w:r>
        <w:t xml:space="preserve">Salsify</w:t>
      </w:r>
      <w:r>
        <w:t xml:space="preserve">: Positions around product experience management.</w:t>
      </w:r>
    </w:p>
    <w:p>
      <w:pPr>
        <w:pStyle w:val="ListParagraph"/>
        <w:numPr>
          <w:ilvl w:val="0"/>
          <w:numId w:val="1"/>
        </w:numPr>
        <w:spacing w:after="120"/>
      </w:pPr>
      <w:r>
        <w:t xml:space="preserve">Jellyfish</w:t>
      </w:r>
      <w:r>
        <w:t xml:space="preserve">: Focuses on digital marketing performance.</w:t>
      </w:r>
    </w:p>
    <w:p>
      <w:pPr>
        <w:pStyle w:val="ListParagraph"/>
        <w:numPr>
          <w:ilvl w:val="0"/>
          <w:numId w:val="1"/>
        </w:numPr>
        <w:spacing w:after="120"/>
      </w:pPr>
      <w:r>
        <w:t xml:space="preserve">Aki Technologies</w:t>
      </w:r>
      <w:r>
        <w:t xml:space="preserve">: Regularly emphasizes personalized media engagement.</w:t>
      </w:r>
    </w:p>
    <w:p>
      <w:pPr>
        <w:spacing w:after="200"/>
      </w:pPr>
      <w:r>
        <w:t xml:space="preserve">We differentiate by:</w:t>
      </w:r>
    </w:p>
    <w:p>
      <w:pPr>
        <w:pStyle w:val="ListParagraph"/>
        <w:numPr>
          <w:ilvl w:val="0"/>
          <w:numId w:val="1"/>
        </w:numPr>
        <w:spacing w:after="120"/>
      </w:pPr>
      <w:r>
        <w:t xml:space="preserve">Leveraging the proven success of our POC with Bounteous—mitigating risk based on established credibility.</w:t>
      </w:r>
    </w:p>
    <w:p>
      <w:pPr>
        <w:pStyle w:val="ListParagraph"/>
        <w:numPr>
          <w:ilvl w:val="0"/>
          <w:numId w:val="1"/>
        </w:numPr>
        <w:spacing w:after="120"/>
      </w:pPr>
      <w:r>
        <w:t xml:space="preserve">Offering a scalable MVP that promises real-time, actionable results in a real-world environment.</w:t>
      </w:r>
    </w:p>
    <w:p>
      <w:pPr>
        <w:pStyle w:val="ListParagraph"/>
        <w:numPr>
          <w:ilvl w:val="0"/>
          <w:numId w:val="1"/>
        </w:numPr>
        <w:spacing w:after="120"/>
      </w:pPr>
      <w:r>
        <w:t xml:space="preserve">Ensuring clean integration with existing systems (Stibo MDM), preserving workflow stability for Diageo.</w:t>
      </w:r>
    </w:p>
    <w:p>
      <w:pPr>
        <w:pStyle w:val="Heading2"/>
        <w:spacing w:before="400" w:after="200"/>
      </w:pPr>
      <w:r>
        <w:t xml:space="preserve">Strategic Allies &amp; Relationships</w:t>
      </w:r>
    </w:p>
    <w:p>
      <w:pPr>
        <w:spacing w:after="200"/>
      </w:pPr>
      <w:r>
        <w:t xml:space="preserve">Diageo's previous POC partnership with Bounteous offers continuity and a strong foundation for further development. Leveraging this prior engagement gives us strategic insight and continuity advantage which competitors may lack.</w:t>
      </w:r>
    </w:p>
    <w:p>
      <w:pPr>
        <w:pStyle w:val="Heading2"/>
        <w:spacing w:before="400" w:after="200"/>
      </w:pPr>
      <w:r>
        <w:t xml:space="preserve">Value Proposition for the Client</w:t>
      </w:r>
    </w:p>
    <w:p>
      <w:pPr>
        <w:pStyle w:val="ListParagraph"/>
        <w:numPr>
          <w:ilvl w:val="0"/>
          <w:numId w:val="1"/>
        </w:numPr>
        <w:spacing w:after="120"/>
      </w:pPr>
      <w:r>
        <w:t xml:space="preserve">Increase in search result rankings</w:t>
      </w:r>
      <w:r>
        <w:t xml:space="preserve"> leading to higher online visibility.</w:t>
      </w:r>
    </w:p>
    <w:p>
      <w:pPr>
        <w:pStyle w:val="ListParagraph"/>
        <w:numPr>
          <w:ilvl w:val="0"/>
          <w:numId w:val="1"/>
        </w:numPr>
        <w:spacing w:after="120"/>
      </w:pPr>
      <w:r>
        <w:t xml:space="preserve">Reduction in time and cost</w:t>
      </w:r>
      <w:r>
        <w:t xml:space="preserve"> associated with generating compliant product descriptions.</w:t>
      </w:r>
    </w:p>
    <w:p>
      <w:pPr>
        <w:pStyle w:val="ListParagraph"/>
        <w:numPr>
          <w:ilvl w:val="0"/>
          <w:numId w:val="1"/>
        </w:numPr>
        <w:spacing w:after="120"/>
      </w:pPr>
      <w:r>
        <w:t xml:space="preserve">Decrease in incidences of non-compliance,</w:t>
      </w:r>
      <w:r>
        <w:t xml:space="preserve"> preventing potential fees and production setbacks.</w:t>
      </w:r>
    </w:p>
    <w:p>
      <w:pPr>
        <w:pStyle w:val="ListParagraph"/>
        <w:numPr>
          <w:ilvl w:val="0"/>
          <w:numId w:val="1"/>
        </w:numPr>
        <w:spacing w:after="120"/>
      </w:pPr>
      <w:r>
        <w:t xml:space="preserve">[Assumption]</w:t>
      </w:r>
      <w:r>
        <w:t xml:space="preserve">: Strengthened offline sales through improved online product exposure.</w:t>
      </w:r>
    </w:p>
    <w:p>
      <w:pPr>
        <w:pStyle w:val="Heading2"/>
        <w:spacing w:before="400" w:after="200"/>
      </w:pPr>
      <w:r>
        <w:t xml:space="preserve">Stakeholder Map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sz="1"/>
              <w:left w:val="single" w:sz="1"/>
              <w:bottom w:val="single" w:sz="1"/>
              <w:right w:val="single" w:sz="1"/>
            </w:tcBorders>
          </w:tcPr>
          <w:p>
            <w:r>
              <w:t xml:space="preserve">Persona/Name</w:t>
            </w:r>
          </w:p>
        </w:tc>
        <w:tc>
          <w:tcPr>
            <w:tcBorders>
              <w:top w:val="single" w:sz="1"/>
              <w:left w:val="single" w:sz="1"/>
              <w:bottom w:val="single" w:sz="1"/>
              <w:right w:val="single" w:sz="1"/>
            </w:tcBorders>
          </w:tcPr>
          <w:p>
            <w:r>
              <w:t xml:space="preserve">Role</w:t>
            </w:r>
          </w:p>
        </w:tc>
        <w:tc>
          <w:tcPr>
            <w:tcBorders>
              <w:top w:val="single" w:sz="1"/>
              <w:left w:val="single" w:sz="1"/>
              <w:bottom w:val="single" w:sz="1"/>
              <w:right w:val="single" w:sz="1"/>
            </w:tcBorders>
          </w:tcPr>
          <w:p>
            <w:r>
              <w:t xml:space="preserve">Goals</w:t>
            </w:r>
          </w:p>
        </w:tc>
        <w:tc>
          <w:tcPr>
            <w:tcBorders>
              <w:top w:val="single" w:sz="1"/>
              <w:left w:val="single" w:sz="1"/>
              <w:bottom w:val="single" w:sz="1"/>
              <w:right w:val="single" w:sz="1"/>
            </w:tcBorders>
          </w:tcPr>
          <w:p>
            <w:r>
              <w:t xml:space="preserve">Anxiety/Objections</w:t>
            </w:r>
          </w:p>
        </w:tc>
        <w:tc>
          <w:tcPr>
            <w:tcBorders>
              <w:top w:val="single" w:sz="1"/>
              <w:left w:val="single" w:sz="1"/>
              <w:bottom w:val="single" w:sz="1"/>
              <w:right w:val="single" w:sz="1"/>
            </w:tcBorders>
          </w:tcPr>
          <w:p>
            <w:r>
              <w:t xml:space="preserve">Decision Power (H/M/L)</w:t>
            </w:r>
          </w:p>
        </w:tc>
        <w:tc>
          <w:tcPr>
            <w:tcBorders>
              <w:top w:val="single" w:sz="1"/>
              <w:left w:val="single" w:sz="1"/>
              <w:bottom w:val="single" w:sz="1"/>
              <w:right w:val="single" w:sz="1"/>
            </w:tcBorders>
          </w:tcPr>
          <w:p>
            <w:r>
              <w:t xml:space="preserve">Preferred Proof</w:t>
            </w:r>
          </w:p>
        </w:tc>
        <w:tc>
          <w:tcPr>
            <w:tcBorders>
              <w:top w:val="single" w:sz="1"/>
              <w:left w:val="single" w:sz="1"/>
              <w:bottom w:val="single" w:sz="1"/>
              <w:right w:val="single" w:sz="1"/>
            </w:tcBorders>
          </w:tcPr>
          <w:p>
            <w:r>
              <w:t xml:space="preserve">Message That Lands</w:t>
            </w:r>
          </w:p>
        </w:tc>
        <w:tc>
          <w:tcPr>
            <w:tcBorders>
              <w:top w:val="single" w:sz="1"/>
              <w:left w:val="single" w:sz="1"/>
              <w:bottom w:val="single" w:sz="1"/>
              <w:right w:val="single" w:sz="1"/>
            </w:tcBorders>
          </w:tcPr>
          <w:p>
            <w:r>
              <w:t xml:space="preserve">Next Move (Owner, Date)</w:t>
            </w:r>
          </w:p>
        </w:tc>
      </w:tr>
      <w:tr>
        <w:tc>
          <w:tcPr>
            <w:tcBorders>
              <w:top w:val="single" w:sz="1"/>
              <w:left w:val="single" w:sz="1"/>
              <w:bottom w:val="single" w:sz="1"/>
              <w:right w:val="single" w:sz="1"/>
            </w:tcBorders>
          </w:tcPr>
          <w:p>
            <w:r>
              <w:t xml:space="preserve">Emma Gallagher</w:t>
            </w:r>
          </w:p>
        </w:tc>
        <w:tc>
          <w:tcPr>
            <w:tcBorders>
              <w:top w:val="single" w:sz="1"/>
              <w:left w:val="single" w:sz="1"/>
              <w:bottom w:val="single" w:sz="1"/>
              <w:right w:val="single" w:sz="1"/>
            </w:tcBorders>
          </w:tcPr>
          <w:p>
            <w:r>
              <w:t xml:space="preserve">Director, Ecommerce Acceleration</w:t>
            </w:r>
          </w:p>
        </w:tc>
        <w:tc>
          <w:tcPr>
            <w:tcBorders>
              <w:top w:val="single" w:sz="1"/>
              <w:left w:val="single" w:sz="1"/>
              <w:bottom w:val="single" w:sz="1"/>
              <w:right w:val="single" w:sz="1"/>
            </w:tcBorders>
          </w:tcPr>
          <w:p>
            <w:r>
              <w:t xml:space="preserve">Drive unit sales and category leadership</w:t>
            </w:r>
          </w:p>
        </w:tc>
        <w:tc>
          <w:tcPr>
            <w:tcBorders>
              <w:top w:val="single" w:sz="1"/>
              <w:left w:val="single" w:sz="1"/>
              <w:bottom w:val="single" w:sz="1"/>
              <w:right w:val="single" w:sz="1"/>
            </w:tcBorders>
          </w:tcPr>
          <w:p>
            <w:r>
              <w:t xml:space="preserve">High budget constraints</w:t>
            </w:r>
          </w:p>
        </w:tc>
        <w:tc>
          <w:tcPr>
            <w:tcBorders>
              <w:top w:val="single" w:sz="1"/>
              <w:left w:val="single" w:sz="1"/>
              <w:bottom w:val="single" w:sz="1"/>
              <w:right w:val="single" w:sz="1"/>
            </w:tcBorders>
          </w:tcPr>
          <w:p>
            <w:r>
              <w:t xml:space="preserve">H</w:t>
            </w:r>
          </w:p>
        </w:tc>
        <w:tc>
          <w:tcPr>
            <w:tcBorders>
              <w:top w:val="single" w:sz="1"/>
              <w:left w:val="single" w:sz="1"/>
              <w:bottom w:val="single" w:sz="1"/>
              <w:right w:val="single" w:sz="1"/>
            </w:tcBorders>
          </w:tcPr>
          <w:p>
            <w:r>
              <w:t xml:space="preserve">ROI demonstration</w:t>
            </w:r>
          </w:p>
        </w:tc>
        <w:tc>
          <w:tcPr>
            <w:tcBorders>
              <w:top w:val="single" w:sz="1"/>
              <w:left w:val="single" w:sz="1"/>
              <w:bottom w:val="single" w:sz="1"/>
              <w:right w:val="single" w:sz="1"/>
            </w:tcBorders>
          </w:tcPr>
          <w:p>
            <w:r>
              <w:t xml:space="preserve">Search rank improvement as a value metric</w:t>
            </w:r>
          </w:p>
        </w:tc>
        <w:tc>
          <w:tcPr>
            <w:tcBorders>
              <w:top w:val="single" w:sz="1"/>
              <w:left w:val="single" w:sz="1"/>
              <w:bottom w:val="single" w:sz="1"/>
              <w:right w:val="single" w:sz="1"/>
            </w:tcBorders>
          </w:tcPr>
          <w:p>
            <w:r>
              <w:t xml:space="preserve">Follow-up meeting (Emma, TBD)</w:t>
            </w:r>
          </w:p>
        </w:tc>
      </w:tr>
      <w:tr>
        <w:tc>
          <w:tcPr>
            <w:tcBorders>
              <w:top w:val="single" w:sz="1"/>
              <w:left w:val="single" w:sz="1"/>
              <w:bottom w:val="single" w:sz="1"/>
              <w:right w:val="single" w:sz="1"/>
            </w:tcBorders>
          </w:tcPr>
          <w:p>
            <w:r>
              <w:t xml:space="preserve">Michael O’Brien</w:t>
            </w:r>
          </w:p>
        </w:tc>
        <w:tc>
          <w:tcPr>
            <w:tcBorders>
              <w:top w:val="single" w:sz="1"/>
              <w:left w:val="single" w:sz="1"/>
              <w:bottom w:val="single" w:sz="1"/>
              <w:right w:val="single" w:sz="1"/>
            </w:tcBorders>
          </w:tcPr>
          <w:p>
            <w:r>
              <w:t xml:space="preserve">Sr Manager, Digital Shelf Optimization</w:t>
            </w:r>
          </w:p>
        </w:tc>
        <w:tc>
          <w:tcPr>
            <w:tcBorders>
              <w:top w:val="single" w:sz="1"/>
              <w:left w:val="single" w:sz="1"/>
              <w:bottom w:val="single" w:sz="1"/>
              <w:right w:val="single" w:sz="1"/>
            </w:tcBorders>
          </w:tcPr>
          <w:p>
            <w:r>
              <w:t xml:space="preserve">Streamline copywriting and compliance</w:t>
            </w:r>
          </w:p>
        </w:tc>
        <w:tc>
          <w:tcPr>
            <w:tcBorders>
              <w:top w:val="single" w:sz="1"/>
              <w:left w:val="single" w:sz="1"/>
              <w:bottom w:val="single" w:sz="1"/>
              <w:right w:val="single" w:sz="1"/>
            </w:tcBorders>
          </w:tcPr>
          <w:p>
            <w:r>
              <w:t xml:space="preserve">Repeated process failures and rework</w:t>
            </w:r>
          </w:p>
        </w:tc>
        <w:tc>
          <w:tcPr>
            <w:tcBorders>
              <w:top w:val="single" w:sz="1"/>
              <w:left w:val="single" w:sz="1"/>
              <w:bottom w:val="single" w:sz="1"/>
              <w:right w:val="single" w:sz="1"/>
            </w:tcBorders>
          </w:tcPr>
          <w:p>
            <w:r>
              <w:t xml:space="preserve">M</w:t>
            </w:r>
          </w:p>
        </w:tc>
        <w:tc>
          <w:tcPr>
            <w:tcBorders>
              <w:top w:val="single" w:sz="1"/>
              <w:left w:val="single" w:sz="1"/>
              <w:bottom w:val="single" w:sz="1"/>
              <w:right w:val="single" w:sz="1"/>
            </w:tcBorders>
          </w:tcPr>
          <w:p>
            <w:r>
              <w:t xml:space="preserve">Case studies and pilot results</w:t>
            </w:r>
          </w:p>
        </w:tc>
        <w:tc>
          <w:tcPr>
            <w:tcBorders>
              <w:top w:val="single" w:sz="1"/>
              <w:left w:val="single" w:sz="1"/>
              <w:bottom w:val="single" w:sz="1"/>
              <w:right w:val="single" w:sz="1"/>
            </w:tcBorders>
          </w:tcPr>
          <w:p>
            <w:r>
              <w:t xml:space="preserve">Reduction in rework time and non-compliance issues</w:t>
            </w:r>
          </w:p>
        </w:tc>
        <w:tc>
          <w:tcPr>
            <w:tcBorders>
              <w:top w:val="single" w:sz="1"/>
              <w:left w:val="single" w:sz="1"/>
              <w:bottom w:val="single" w:sz="1"/>
              <w:right w:val="single" w:sz="1"/>
            </w:tcBorders>
          </w:tcPr>
          <w:p>
            <w:r>
              <w:t xml:space="preserve">Demo prep (Michael, Week 2,-April)</w:t>
            </w:r>
          </w:p>
        </w:tc>
      </w:tr>
      <w:tr>
        <w:tc>
          <w:tcPr>
            <w:tcBorders>
              <w:top w:val="single" w:sz="1"/>
              <w:left w:val="single" w:sz="1"/>
              <w:bottom w:val="single" w:sz="1"/>
              <w:right w:val="single" w:sz="1"/>
            </w:tcBorders>
          </w:tcPr>
          <w:p>
            <w:r>
              <w:t xml:space="preserve">Priya Nandakumar</w:t>
            </w:r>
          </w:p>
        </w:tc>
        <w:tc>
          <w:tcPr>
            <w:tcBorders>
              <w:top w:val="single" w:sz="1"/>
              <w:left w:val="single" w:sz="1"/>
              <w:bottom w:val="single" w:sz="1"/>
              <w:right w:val="single" w:sz="1"/>
            </w:tcBorders>
          </w:tcPr>
          <w:p>
            <w:r>
              <w:t xml:space="preserve">Marketing Operations Lead</w:t>
            </w:r>
          </w:p>
        </w:tc>
        <w:tc>
          <w:tcPr>
            <w:tcBorders>
              <w:top w:val="single" w:sz="1"/>
              <w:left w:val="single" w:sz="1"/>
              <w:bottom w:val="single" w:sz="1"/>
              <w:right w:val="single" w:sz="1"/>
            </w:tcBorders>
          </w:tcPr>
          <w:p>
            <w:r>
              <w:t xml:space="preserve">Simplified and efficient marketing processes</w:t>
            </w:r>
          </w:p>
        </w:tc>
        <w:tc>
          <w:tcPr>
            <w:tcBorders>
              <w:top w:val="single" w:sz="1"/>
              <w:left w:val="single" w:sz="1"/>
              <w:bottom w:val="single" w:sz="1"/>
              <w:right w:val="single" w:sz="1"/>
            </w:tcBorders>
          </w:tcPr>
          <w:p>
            <w:r>
              <w:t xml:space="preserve">Complexity of tools and processes</w:t>
            </w:r>
          </w:p>
        </w:tc>
        <w:tc>
          <w:tcPr>
            <w:tcBorders>
              <w:top w:val="single" w:sz="1"/>
              <w:left w:val="single" w:sz="1"/>
              <w:bottom w:val="single" w:sz="1"/>
              <w:right w:val="single" w:sz="1"/>
            </w:tcBorders>
          </w:tcPr>
          <w:p>
            <w:r>
              <w:t xml:space="preserve">M</w:t>
            </w:r>
          </w:p>
        </w:tc>
        <w:tc>
          <w:tcPr>
            <w:tcBorders>
              <w:top w:val="single" w:sz="1"/>
              <w:left w:val="single" w:sz="1"/>
              <w:bottom w:val="single" w:sz="1"/>
              <w:right w:val="single" w:sz="1"/>
            </w:tcBorders>
          </w:tcPr>
          <w:p>
            <w:r>
              <w:t xml:space="preserve">User feedback</w:t>
            </w:r>
          </w:p>
        </w:tc>
        <w:tc>
          <w:tcPr>
            <w:tcBorders>
              <w:top w:val="single" w:sz="1"/>
              <w:left w:val="single" w:sz="1"/>
              <w:bottom w:val="single" w:sz="1"/>
              <w:right w:val="single" w:sz="1"/>
            </w:tcBorders>
          </w:tcPr>
          <w:p>
            <w:r>
              <w:t xml:space="preserve">User-friendly tool, no prompt engineering necessary</w:t>
            </w:r>
          </w:p>
        </w:tc>
        <w:tc>
          <w:tcPr>
            <w:tcBorders>
              <w:top w:val="single" w:sz="1"/>
              <w:left w:val="single" w:sz="1"/>
              <w:bottom w:val="single" w:sz="1"/>
              <w:right w:val="single" w:sz="1"/>
            </w:tcBorders>
          </w:tcPr>
          <w:p>
            <w:r>
              <w:t xml:space="preserve">User training design (Priya, May)</w:t>
            </w:r>
          </w:p>
        </w:tc>
      </w:tr>
      <w:tr>
        <w:tc>
          <w:tcPr>
            <w:tcBorders>
              <w:top w:val="single" w:sz="1"/>
              <w:left w:val="single" w:sz="1"/>
              <w:bottom w:val="single" w:sz="1"/>
              <w:right w:val="single" w:sz="1"/>
            </w:tcBorders>
          </w:tcPr>
          <w:p>
            <w:r>
              <w:t xml:space="preserve">Daniel Rodriguez</w:t>
            </w:r>
          </w:p>
        </w:tc>
        <w:tc>
          <w:tcPr>
            <w:tcBorders>
              <w:top w:val="single" w:sz="1"/>
              <w:left w:val="single" w:sz="1"/>
              <w:bottom w:val="single" w:sz="1"/>
              <w:right w:val="single" w:sz="1"/>
            </w:tcBorders>
          </w:tcPr>
          <w:p>
            <w:r>
              <w:t xml:space="preserve">Technical Product Owner, Stibo MDM</w:t>
            </w:r>
          </w:p>
        </w:tc>
        <w:tc>
          <w:tcPr>
            <w:tcBorders>
              <w:top w:val="single" w:sz="1"/>
              <w:left w:val="single" w:sz="1"/>
              <w:bottom w:val="single" w:sz="1"/>
              <w:right w:val="single" w:sz="1"/>
            </w:tcBorders>
          </w:tcPr>
          <w:p>
            <w:r>
              <w:t xml:space="preserve">Seamless technical integration</w:t>
            </w:r>
          </w:p>
        </w:tc>
        <w:tc>
          <w:tcPr>
            <w:tcBorders>
              <w:top w:val="single" w:sz="1"/>
              <w:left w:val="single" w:sz="1"/>
              <w:bottom w:val="single" w:sz="1"/>
              <w:right w:val="single" w:sz="1"/>
            </w:tcBorders>
          </w:tcPr>
          <w:p>
            <w:r>
              <w:t xml:space="preserve">Data integrity and system disruptions</w:t>
            </w:r>
          </w:p>
        </w:tc>
        <w:tc>
          <w:tcPr>
            <w:tcBorders>
              <w:top w:val="single" w:sz="1"/>
              <w:left w:val="single" w:sz="1"/>
              <w:bottom w:val="single" w:sz="1"/>
              <w:right w:val="single" w:sz="1"/>
            </w:tcBorders>
          </w:tcPr>
          <w:p>
            <w:r>
              <w:t xml:space="preserve">M</w:t>
            </w:r>
          </w:p>
        </w:tc>
        <w:tc>
          <w:tcPr>
            <w:tcBorders>
              <w:top w:val="single" w:sz="1"/>
              <w:left w:val="single" w:sz="1"/>
              <w:bottom w:val="single" w:sz="1"/>
              <w:right w:val="single" w:sz="1"/>
            </w:tcBorders>
          </w:tcPr>
          <w:p>
            <w:r>
              <w:t xml:space="preserve">Technical audit or prototype</w:t>
            </w:r>
          </w:p>
        </w:tc>
        <w:tc>
          <w:tcPr>
            <w:tcBorders>
              <w:top w:val="single" w:sz="1"/>
              <w:left w:val="single" w:sz="1"/>
              <w:bottom w:val="single" w:sz="1"/>
              <w:right w:val="single" w:sz="1"/>
            </w:tcBorders>
          </w:tcPr>
          <w:p>
            <w:r>
              <w:t xml:space="preserve">Smooth API integration with Stibo</w:t>
            </w:r>
          </w:p>
        </w:tc>
        <w:tc>
          <w:tcPr>
            <w:tcBorders>
              <w:top w:val="single" w:sz="1"/>
              <w:left w:val="single" w:sz="1"/>
              <w:bottom w:val="single" w:sz="1"/>
              <w:right w:val="single" w:sz="1"/>
            </w:tcBorders>
          </w:tcPr>
          <w:p>
            <w:r>
              <w:t xml:space="preserve">Technical alignment check (Daniel, May)</w:t>
            </w:r>
          </w:p>
        </w:tc>
      </w:tr>
      <w:tr>
        <w:tc>
          <w:tcPr>
            <w:tcBorders>
              <w:top w:val="single" w:sz="1"/>
              <w:left w:val="single" w:sz="1"/>
              <w:bottom w:val="single" w:sz="1"/>
              <w:right w:val="single" w:sz="1"/>
            </w:tcBorders>
          </w:tcPr>
          <w:p>
            <w:r>
              <w:t xml:space="preserve">Sarah McLeod</w:t>
            </w:r>
          </w:p>
        </w:tc>
        <w:tc>
          <w:tcPr>
            <w:tcBorders>
              <w:top w:val="single" w:sz="1"/>
              <w:left w:val="single" w:sz="1"/>
              <w:bottom w:val="single" w:sz="1"/>
              <w:right w:val="single" w:sz="1"/>
            </w:tcBorders>
          </w:tcPr>
          <w:p>
            <w:r>
              <w:t xml:space="preserve">Legal &amp; Regulatory Manager</w:t>
            </w:r>
          </w:p>
        </w:tc>
        <w:tc>
          <w:tcPr>
            <w:tcBorders>
              <w:top w:val="single" w:sz="1"/>
              <w:left w:val="single" w:sz="1"/>
              <w:bottom w:val="single" w:sz="1"/>
              <w:right w:val="single" w:sz="1"/>
            </w:tcBorders>
          </w:tcPr>
          <w:p>
            <w:r>
              <w:t xml:space="preserve">Ensure compliance with regulations</w:t>
            </w:r>
          </w:p>
        </w:tc>
        <w:tc>
          <w:tcPr>
            <w:tcBorders>
              <w:top w:val="single" w:sz="1"/>
              <w:left w:val="single" w:sz="1"/>
              <w:bottom w:val="single" w:sz="1"/>
              <w:right w:val="single" w:sz="1"/>
            </w:tcBorders>
          </w:tcPr>
          <w:p>
            <w:r>
              <w:t xml:space="preserve">Risk of non-compliance with legal standards</w:t>
            </w:r>
          </w:p>
        </w:tc>
        <w:tc>
          <w:tcPr>
            <w:tcBorders>
              <w:top w:val="single" w:sz="1"/>
              <w:left w:val="single" w:sz="1"/>
              <w:bottom w:val="single" w:sz="1"/>
              <w:right w:val="single" w:sz="1"/>
            </w:tcBorders>
          </w:tcPr>
          <w:p>
            <w:r>
              <w:t xml:space="preserve">L/M</w:t>
            </w:r>
          </w:p>
        </w:tc>
        <w:tc>
          <w:tcPr>
            <w:tcBorders>
              <w:top w:val="single" w:sz="1"/>
              <w:left w:val="single" w:sz="1"/>
              <w:bottom w:val="single" w:sz="1"/>
              <w:right w:val="single" w:sz="1"/>
            </w:tcBorders>
          </w:tcPr>
          <w:p>
            <w:r>
              <w:t xml:space="preserve">Compliance testing frameworks</w:t>
            </w:r>
          </w:p>
        </w:tc>
        <w:tc>
          <w:tcPr>
            <w:tcBorders>
              <w:top w:val="single" w:sz="1"/>
              <w:left w:val="single" w:sz="1"/>
              <w:bottom w:val="single" w:sz="1"/>
              <w:right w:val="single" w:sz="1"/>
            </w:tcBorders>
          </w:tcPr>
          <w:p>
            <w:r>
              <w:t xml:space="preserve">Assured compliance without risky claims</w:t>
            </w:r>
          </w:p>
        </w:tc>
        <w:tc>
          <w:tcPr>
            <w:tcBorders>
              <w:top w:val="single" w:sz="1"/>
              <w:left w:val="single" w:sz="1"/>
              <w:bottom w:val="single" w:sz="1"/>
              <w:right w:val="single" w:sz="1"/>
            </w:tcBorders>
          </w:tcPr>
          <w:p>
            <w:r>
              <w:t xml:space="preserve">Compliance review (Sarah, May)</w:t>
            </w:r>
          </w:p>
        </w:tc>
      </w:tr>
      <w:tr>
        <w:tc>
          <w:tcPr>
            <w:tcBorders>
              <w:top w:val="single" w:sz="1"/>
              <w:left w:val="single" w:sz="1"/>
              <w:bottom w:val="single" w:sz="1"/>
              <w:right w:val="single" w:sz="1"/>
            </w:tcBorders>
          </w:tcPr>
          <w:p>
            <w:r>
              <w:t xml:space="preserve">Jason Miller</w:t>
            </w:r>
          </w:p>
        </w:tc>
        <w:tc>
          <w:tcPr>
            <w:tcBorders>
              <w:top w:val="single" w:sz="1"/>
              <w:left w:val="single" w:sz="1"/>
              <w:bottom w:val="single" w:sz="1"/>
              <w:right w:val="single" w:sz="1"/>
            </w:tcBorders>
          </w:tcPr>
          <w:p>
            <w:r>
              <w:t xml:space="preserve">Retail Media Partner Manager</w:t>
            </w:r>
          </w:p>
        </w:tc>
        <w:tc>
          <w:tcPr>
            <w:tcBorders>
              <w:top w:val="single" w:sz="1"/>
              <w:left w:val="single" w:sz="1"/>
              <w:bottom w:val="single" w:sz="1"/>
              <w:right w:val="single" w:sz="1"/>
            </w:tcBorders>
          </w:tcPr>
          <w:p>
            <w:r>
              <w:t xml:space="preserve">Ensure retailer alignment</w:t>
            </w:r>
          </w:p>
        </w:tc>
        <w:tc>
          <w:tcPr>
            <w:tcBorders>
              <w:top w:val="single" w:sz="1"/>
              <w:left w:val="single" w:sz="1"/>
              <w:bottom w:val="single" w:sz="1"/>
              <w:right w:val="single" w:sz="1"/>
            </w:tcBorders>
          </w:tcPr>
          <w:p>
            <w:r>
              <w:t xml:space="preserve">Adapting to changing retailer requirements</w:t>
            </w:r>
          </w:p>
        </w:tc>
        <w:tc>
          <w:tcPr>
            <w:tcBorders>
              <w:top w:val="single" w:sz="1"/>
              <w:left w:val="single" w:sz="1"/>
              <w:bottom w:val="single" w:sz="1"/>
              <w:right w:val="single" w:sz="1"/>
            </w:tcBorders>
          </w:tcPr>
          <w:p>
            <w:r>
              <w:t xml:space="preserve">L</w:t>
            </w:r>
          </w:p>
        </w:tc>
        <w:tc>
          <w:tcPr>
            <w:tcBorders>
              <w:top w:val="single" w:sz="1"/>
              <w:left w:val="single" w:sz="1"/>
              <w:bottom w:val="single" w:sz="1"/>
              <w:right w:val="single" w:sz="1"/>
            </w:tcBorders>
          </w:tcPr>
          <w:p>
            <w:r>
              <w:t xml:space="preserve">Agile adaptation capabilities</w:t>
            </w:r>
          </w:p>
        </w:tc>
        <w:tc>
          <w:tcPr>
            <w:tcBorders>
              <w:top w:val="single" w:sz="1"/>
              <w:left w:val="single" w:sz="1"/>
              <w:bottom w:val="single" w:sz="1"/>
              <w:right w:val="single" w:sz="1"/>
            </w:tcBorders>
          </w:tcPr>
          <w:p>
            <w:r>
              <w:t xml:space="preserve">System flexibility to changing requirements</w:t>
            </w:r>
          </w:p>
        </w:tc>
        <w:tc>
          <w:tcPr>
            <w:tcBorders>
              <w:top w:val="single" w:sz="1"/>
              <w:left w:val="single" w:sz="1"/>
              <w:bottom w:val="single" w:sz="1"/>
              <w:right w:val="single" w:sz="1"/>
            </w:tcBorders>
          </w:tcPr>
          <w:p>
            <w:r>
              <w:t xml:space="preserve">Retailer insights session (Jason, May)</w:t>
            </w:r>
          </w:p>
        </w:tc>
      </w:tr>
    </w:tbl>
    <w:p>
      <w:pPr>
        <w:spacing w:after="200"/>
      </w:pPr>
    </w:p>
    <w:p>
      <w:pPr>
        <w:pStyle w:val="Heading2"/>
        <w:spacing w:before="400" w:after="200"/>
      </w:pPr>
      <w:r>
        <w:t xml:space="preserve">Win Themes &amp; Landmines</w:t>
      </w:r>
    </w:p>
    <w:p>
      <w:pPr>
        <w:spacing w:after="200"/>
      </w:pPr>
      <w:r>
        <w:t xml:space="preserve">Win Themes:</w:t>
      </w:r>
    </w:p>
    <w:p>
      <w:pPr>
        <w:pStyle w:val="ListParagraph"/>
        <w:numPr>
          <w:ilvl w:val="0"/>
          <w:numId w:val="2"/>
        </w:numPr>
        <w:spacing w:after="120"/>
      </w:pPr>
      <w:r>
        <w:t xml:space="preserve">Improved visibility and searchability aligned with leading KPIs.</w:t>
      </w:r>
    </w:p>
    <w:p>
      <w:pPr>
        <w:pStyle w:val="ListParagraph"/>
        <w:numPr>
          <w:ilvl w:val="0"/>
          <w:numId w:val="2"/>
        </w:numPr>
        <w:spacing w:after="120"/>
      </w:pPr>
      <w:r>
        <w:t xml:space="preserve">User-friendly application reducing manual errors and streamlining marketer tasks.</w:t>
      </w:r>
    </w:p>
    <w:p>
      <w:pPr>
        <w:pStyle w:val="ListParagraph"/>
        <w:numPr>
          <w:ilvl w:val="0"/>
          <w:numId w:val="2"/>
        </w:numPr>
        <w:spacing w:after="120"/>
      </w:pPr>
      <w:r>
        <w:t xml:space="preserve">Proven partnership with Bounteous to reinforce continuity and relevance.</w:t>
      </w:r>
    </w:p>
    <w:p>
      <w:pPr>
        <w:pStyle w:val="ListParagraph"/>
        <w:numPr>
          <w:ilvl w:val="0"/>
          <w:numId w:val="2"/>
        </w:numPr>
        <w:spacing w:after="120"/>
      </w:pPr>
      <w:r>
        <w:t xml:space="preserve">Flexible system that adapts to frequent changes in retailer requirements.</w:t>
      </w:r>
    </w:p>
    <w:p>
      <w:pPr>
        <w:spacing w:after="200"/>
      </w:pPr>
      <w:r>
        <w:t xml:space="preserve">Landmines:</w:t>
      </w:r>
    </w:p>
    <w:p>
      <w:pPr>
        <w:pStyle w:val="ListParagraph"/>
        <w:numPr>
          <w:ilvl w:val="0"/>
          <w:numId w:val="2"/>
        </w:numPr>
        <w:spacing w:after="120"/>
      </w:pPr>
      <w:r>
        <w:t xml:space="preserve">Budget constraints — mitigate by focusing on high-impact initiatives.</w:t>
      </w:r>
    </w:p>
    <w:p>
      <w:pPr>
        <w:pStyle w:val="ListParagraph"/>
        <w:numPr>
          <w:ilvl w:val="0"/>
          <w:numId w:val="2"/>
        </w:numPr>
        <w:spacing w:after="120"/>
      </w:pPr>
      <w:r>
        <w:t xml:space="preserve">Compliance sensitivity — ensure solutions are rigorously vetted for compliance.</w:t>
      </w:r>
    </w:p>
    <w:p>
      <w:pPr>
        <w:pStyle w:val="ListParagraph"/>
        <w:numPr>
          <w:ilvl w:val="0"/>
          <w:numId w:val="2"/>
        </w:numPr>
        <w:spacing w:after="120"/>
      </w:pPr>
      <w:r>
        <w:t xml:space="preserve">Technical integration pitfalls — prioritize seamless API collaboration with Stibo.</w:t>
      </w:r>
    </w:p>
    <w:p>
      <w:pPr>
        <w:pStyle w:val="ListParagraph"/>
        <w:numPr>
          <w:ilvl w:val="0"/>
          <w:numId w:val="2"/>
        </w:numPr>
        <w:spacing w:after="120"/>
      </w:pPr>
      <w:r>
        <w:t xml:space="preserve">Inconclusive POC sales lift — stress improved ranking over time-limited sales data.</w:t>
      </w:r>
    </w:p>
    <w:p>
      <w:pPr>
        <w:pStyle w:val="ListParagraph"/>
        <w:numPr>
          <w:ilvl w:val="0"/>
          <w:numId w:val="2"/>
        </w:numPr>
        <w:spacing w:after="120"/>
      </w:pPr>
      <w:r>
        <w:t xml:space="preserve">Aggressive timelines — highlight phased rollout with MVP structure.</w:t>
      </w:r>
    </w:p>
    <w:p>
      <w:pPr>
        <w:pStyle w:val="ListParagraph"/>
        <w:numPr>
          <w:ilvl w:val="0"/>
          <w:numId w:val="2"/>
        </w:numPr>
        <w:spacing w:after="120"/>
      </w:pPr>
      <w:r>
        <w:t xml:space="preserve">Competitive pressure — leverage past POC success for credibility.</w:t>
      </w:r>
    </w:p>
    <w:p>
      <w:pPr>
        <w:pStyle w:val="ListParagraph"/>
        <w:numPr>
          <w:ilvl w:val="0"/>
          <w:numId w:val="2"/>
        </w:numPr>
        <w:spacing w:after="120"/>
      </w:pPr>
      <w:r>
        <w:t xml:space="preserve">High benchmark for ROI — prepare detailed cost-benefit analyses to justify investment.</w:t>
      </w:r>
    </w:p>
    <w:p>
      <w:pPr>
        <w:pStyle w:val="ListParagraph"/>
        <w:numPr>
          <w:ilvl w:val="0"/>
          <w:numId w:val="2"/>
        </w:numPr>
        <w:spacing w:after="120"/>
      </w:pPr>
      <w:r>
        <w:t xml:space="preserve">Internal team buy-in — ensure alignment with strategic priorities and stakeholder engagement.</w:t>
      </w:r>
    </w:p>
    <w:p>
      <w:pPr>
        <w:pStyle w:val="Heading2"/>
        <w:spacing w:before="400" w:after="200"/>
      </w:pPr>
      <w:r>
        <w:t xml:space="preserve">Off-Deck Sales Plays (Fast Actions)</w:t>
      </w:r>
    </w:p>
    <w:p>
      <w:pPr>
        <w:pStyle w:val="ListParagraph"/>
        <w:numPr>
          <w:ilvl w:val="0"/>
          <w:numId w:val="2"/>
        </w:numPr>
        <w:spacing w:after="120"/>
      </w:pPr>
      <w:r>
        <w:t xml:space="preserve">Objective:</w:t>
      </w:r>
      <w:r>
        <w:t xml:space="preserve"> Enhance search ranking validation • </w:t>
      </w:r>
      <w:r>
        <w:t xml:space="preserve">Artifact:</w:t>
      </w:r>
      <w:r>
        <w:t xml:space="preserve"> Case study of POC search rank gains • </w:t>
      </w:r>
      <w:r>
        <w:t xml:space="preserve">Proposed Owner:</w:t>
      </w:r>
      <w:r>
        <w:t xml:space="preserve"> Marketing Lead (Priya) • </w:t>
      </w:r>
      <w:r>
        <w:t xml:space="preserve">Prep Time:</w:t>
      </w:r>
      <w:r>
        <w:t xml:space="preserve"> 2 weeks • </w:t>
      </w:r>
      <w:r>
        <w:t xml:space="preserve">Risk:</w:t>
      </w:r>
      <w:r>
        <w:t xml:space="preserve"> Low without sales boost data</w:t>
      </w:r>
    </w:p>
    <w:p>
      <w:pPr>
        <w:pStyle w:val="ListParagraph"/>
        <w:numPr>
          <w:ilvl w:val="0"/>
          <w:numId w:val="2"/>
        </w:numPr>
        <w:spacing w:after="120"/>
      </w:pPr>
      <w:r>
        <w:t xml:space="preserve">Objective:</w:t>
      </w:r>
      <w:r>
        <w:t xml:space="preserve"> Streamline marketer training • </w:t>
      </w:r>
      <w:r>
        <w:t xml:space="preserve">Artifact:</w:t>
      </w:r>
      <w:r>
        <w:t xml:space="preserve"> Training modules for Smart Shelf tool • </w:t>
      </w:r>
      <w:r>
        <w:t xml:space="preserve">Proposed Owner:</w:t>
      </w:r>
      <w:r>
        <w:t xml:space="preserve"> Operations Lead (Priya) • </w:t>
      </w:r>
      <w:r>
        <w:t xml:space="preserve">Prep Time:</w:t>
      </w:r>
      <w:r>
        <w:t xml:space="preserve"> 3 weeks • </w:t>
      </w:r>
      <w:r>
        <w:t xml:space="preserve">Risk:</w:t>
      </w:r>
      <w:r>
        <w:t xml:space="preserve"> Medium if adoption is slow</w:t>
      </w:r>
    </w:p>
    <w:p>
      <w:pPr>
        <w:pStyle w:val="ListParagraph"/>
        <w:numPr>
          <w:ilvl w:val="0"/>
          <w:numId w:val="2"/>
        </w:numPr>
        <w:spacing w:after="120"/>
      </w:pPr>
      <w:r>
        <w:t xml:space="preserve">Objective:</w:t>
      </w:r>
      <w:r>
        <w:t xml:space="preserve"> Foster technical buy-in • </w:t>
      </w:r>
      <w:r>
        <w:t xml:space="preserve">Artifact:</w:t>
      </w:r>
      <w:r>
        <w:t xml:space="preserve"> Technical integration roadmap • </w:t>
      </w:r>
      <w:r>
        <w:t xml:space="preserve">Proposed Owner:</w:t>
      </w:r>
      <w:r>
        <w:t xml:space="preserve"> Tech Product Owner (Daniel) • </w:t>
      </w:r>
      <w:r>
        <w:t xml:space="preserve">Prep Time:</w:t>
      </w:r>
      <w:r>
        <w:t xml:space="preserve"> 1-month • </w:t>
      </w:r>
      <w:r>
        <w:t xml:space="preserve">Risk:</w:t>
      </w:r>
      <w:r>
        <w:t xml:space="preserve"> High without integration clarity</w:t>
      </w:r>
    </w:p>
    <w:p>
      <w:pPr>
        <w:pStyle w:val="Heading2"/>
        <w:spacing w:before="400" w:after="200"/>
      </w:pPr>
      <w:r>
        <w:t xml:space="preserve">Risk Register (Top Risks)</w:t>
      </w:r>
    </w:p>
    <w:p>
      <w:pPr>
        <w:pStyle w:val="ListParagraph"/>
        <w:numPr>
          <w:ilvl w:val="0"/>
          <w:numId w:val="2"/>
        </w:numPr>
        <w:spacing w:after="120"/>
      </w:pPr>
      <w:r>
        <w:t xml:space="preserve">Risk:</w:t>
      </w:r>
      <w:r>
        <w:t xml:space="preserve"> Integration failure with Stibo MDM • </w:t>
      </w:r>
      <w:r>
        <w:t xml:space="preserve">Likelihood:</w:t>
      </w:r>
      <w:r>
        <w:t xml:space="preserve"> M • </w:t>
      </w:r>
      <w:r>
        <w:t xml:space="preserve">Impact:</w:t>
      </w:r>
      <w:r>
        <w:t xml:space="preserve"> H • </w:t>
      </w:r>
      <w:r>
        <w:t xml:space="preserve">Early Warning:</w:t>
      </w:r>
      <w:r>
        <w:t xml:space="preserve"> Failed API tests • </w:t>
      </w:r>
      <w:r>
        <w:t xml:space="preserve">Mitigation:</w:t>
      </w:r>
      <w:r>
        <w:t xml:space="preserve"> Pre-launch integration validation • </w:t>
      </w:r>
      <w:r>
        <w:t xml:space="preserve">Owner:</w:t>
      </w:r>
      <w:r>
        <w:t xml:space="preserve"> Daniel Rodriguez</w:t>
      </w:r>
    </w:p>
    <w:p>
      <w:pPr>
        <w:pStyle w:val="ListParagraph"/>
        <w:numPr>
          <w:ilvl w:val="0"/>
          <w:numId w:val="2"/>
        </w:numPr>
        <w:spacing w:after="120"/>
      </w:pPr>
      <w:r>
        <w:t xml:space="preserve">Risk:</w:t>
      </w:r>
      <w:r>
        <w:t xml:space="preserve"> Budget limitation leading to scope cuts • </w:t>
      </w:r>
      <w:r>
        <w:t xml:space="preserve">Likelihood:</w:t>
      </w:r>
      <w:r>
        <w:t xml:space="preserve"> H • </w:t>
      </w:r>
      <w:r>
        <w:t xml:space="preserve">Impact:</w:t>
      </w:r>
      <w:r>
        <w:t xml:space="preserve"> M • </w:t>
      </w:r>
      <w:r>
        <w:t xml:space="preserve">Early Warning:</w:t>
      </w:r>
      <w:r>
        <w:t xml:space="preserve"> Delayed budget approvals • </w:t>
      </w:r>
      <w:r>
        <w:t xml:space="preserve">Mitigation:</w:t>
      </w:r>
      <w:r>
        <w:t xml:space="preserve"> Prioritize high-impact aspects • </w:t>
      </w:r>
      <w:r>
        <w:t xml:space="preserve">Owner:</w:t>
      </w:r>
      <w:r>
        <w:t xml:space="preserve"> Emma Gallagher</w:t>
      </w:r>
    </w:p>
    <w:p>
      <w:pPr>
        <w:pStyle w:val="ListParagraph"/>
        <w:numPr>
          <w:ilvl w:val="0"/>
          <w:numId w:val="2"/>
        </w:numPr>
        <w:spacing w:after="120"/>
      </w:pPr>
      <w:r>
        <w:t xml:space="preserve">Risk:</w:t>
      </w:r>
      <w:r>
        <w:t xml:space="preserve"> Non-compliance with retailer regulations • </w:t>
      </w:r>
      <w:r>
        <w:t xml:space="preserve">Likelihood:</w:t>
      </w:r>
      <w:r>
        <w:t xml:space="preserve"> M • </w:t>
      </w:r>
      <w:r>
        <w:t xml:space="preserve">Impact:</w:t>
      </w:r>
      <w:r>
        <w:t xml:space="preserve"> H • </w:t>
      </w:r>
      <w:r>
        <w:t xml:space="preserve">Early Warning:</w:t>
      </w:r>
      <w:r>
        <w:t xml:space="preserve"> Early compliance tests show issues • </w:t>
      </w:r>
      <w:r>
        <w:t xml:space="preserve">Mitigation:</w:t>
      </w:r>
      <w:r>
        <w:t xml:space="preserve"> Conduct pre-market compliance reviews • </w:t>
      </w:r>
      <w:r>
        <w:t xml:space="preserve">Owner:</w:t>
      </w:r>
      <w:r>
        <w:t xml:space="preserve"> Sarah McLeod</w:t>
      </w:r>
    </w:p>
    <w:p>
      <w:pPr>
        <w:pStyle w:val="ListParagraph"/>
        <w:numPr>
          <w:ilvl w:val="0"/>
          <w:numId w:val="2"/>
        </w:numPr>
        <w:spacing w:after="120"/>
      </w:pPr>
      <w:r>
        <w:t xml:space="preserve">Risk:</w:t>
      </w:r>
      <w:r>
        <w:t xml:space="preserve"> Inconclusive sales impact post-launch • </w:t>
      </w:r>
      <w:r>
        <w:t xml:space="preserve">Likelihood:</w:t>
      </w:r>
      <w:r>
        <w:t xml:space="preserve"> L • </w:t>
      </w:r>
      <w:r>
        <w:t xml:space="preserve">Impact:</w:t>
      </w:r>
      <w:r>
        <w:t xml:space="preserve"> M • </w:t>
      </w:r>
      <w:r>
        <w:t xml:space="preserve">Early Warning:</w:t>
      </w:r>
      <w:r>
        <w:t xml:space="preserve"> Initial sales metrics below target • </w:t>
      </w:r>
      <w:r>
        <w:t xml:space="preserve">Mitigation:</w:t>
      </w:r>
      <w:r>
        <w:t xml:space="preserve"> Focus on rank and rework reduction data • </w:t>
      </w:r>
      <w:r>
        <w:t xml:space="preserve">Owner:</w:t>
      </w:r>
      <w:r>
        <w:t xml:space="preserve"> Michael O’Brien</w:t>
      </w:r>
    </w:p>
    <w:p>
      <w:pPr>
        <w:pStyle w:val="ListParagraph"/>
        <w:numPr>
          <w:ilvl w:val="0"/>
          <w:numId w:val="2"/>
        </w:numPr>
        <w:spacing w:after="120"/>
      </w:pPr>
      <w:r>
        <w:t xml:space="preserve">Risk:</w:t>
      </w:r>
      <w:r>
        <w:t xml:space="preserve"> Internal resistance to adoption • </w:t>
      </w:r>
      <w:r>
        <w:t xml:space="preserve">Likelihood:</w:t>
      </w:r>
      <w:r>
        <w:t xml:space="preserve"> M • </w:t>
      </w:r>
      <w:r>
        <w:t xml:space="preserve">Impact:</w:t>
      </w:r>
      <w:r>
        <w:t xml:space="preserve"> M • </w:t>
      </w:r>
      <w:r>
        <w:t xml:space="preserve">Early Warning:</w:t>
      </w:r>
      <w:r>
        <w:t xml:space="preserve"> Slow user onboarding • </w:t>
      </w:r>
      <w:r>
        <w:t xml:space="preserve">Mitigation:</w:t>
      </w:r>
      <w:r>
        <w:t xml:space="preserve"> Engage users early with demos and trials • </w:t>
      </w:r>
      <w:r>
        <w:t xml:space="preserve">Owner:</w:t>
      </w:r>
      <w:r>
        <w:t xml:space="preserve"> Priya Nandakumar</w:t>
      </w:r>
    </w:p>
    <w:p>
      <w:pPr>
        <w:pStyle w:val="Heading2"/>
        <w:spacing w:before="400" w:after="200"/>
      </w:pPr>
      <w:r>
        <w:t xml:space="preserve">Messaging Options (Client Language)</w:t>
      </w:r>
    </w:p>
    <w:p>
      <w:pPr>
        <w:spacing w:after="200"/>
      </w:pPr>
      <w:r>
        <w:t xml:space="preserve">Option:</w:t>
      </w:r>
      <w:r>
        <w:t xml:space="preserve"> "Simplify your marketing workflow by leveraging Smart Shelf's GenAI capabilities. Faster, more accurate product descriptions mean better visibility and less compliance risk. Let's talk impact." </w:t>
      </w:r>
      <w:r>
        <w:t xml:space="preserve">Request a demo today to see how it works in your market.</w:t>
      </w:r>
    </w:p>
    <w:p>
      <w:pPr>
        <w:spacing w:after="200"/>
      </w:pPr>
      <w:r>
        <w:t xml:space="preserve">Option:</w:t>
      </w:r>
      <w:r>
        <w:t xml:space="preserve"> "Empower your marketing teams with an easy-to-use tool that slots seamlessly into your existing systems. Avoid the costly fees of non-compliance and reduce rework time. Explore Smart Shelf's integration capabilities now." </w:t>
      </w:r>
      <w:r>
        <w:t xml:space="preserve">Schedule a technical discussion to dive into specifics.</w:t>
      </w:r>
    </w:p>
    <w:p>
      <w:pPr>
        <w:spacing w:after="200"/>
      </w:pPr>
      <w:r>
        <w:t xml:space="preserve">Option:</w:t>
      </w:r>
      <w:r>
        <w:t xml:space="preserve"> "Stay ahead of retailer requirements with GenAI-enhanced product visibility and compliance. Smart Shelf adapts to change, ensuring your descriptions always meet the mark. See it in action!" </w:t>
      </w:r>
      <w:r>
        <w:t xml:space="preserve">Join our pilot program and experience the difference firsthand.</w:t>
      </w:r>
    </w:p>
    <w:p>
      <w:pPr>
        <w:pStyle w:val="Heading2"/>
        <w:spacing w:before="400" w:after="200"/>
      </w:pPr>
      <w:r>
        <w:t xml:space="preserve">Next Step &amp; Owner</w:t>
      </w:r>
    </w:p>
    <w:p>
      <w:pPr>
        <w:spacing w:after="200"/>
      </w:pPr>
      <w:r>
        <w:t xml:space="preserve">Immediate next action: Organize follow-up meetings with key stakeholders to align on the MVP roadmap and integration plan.</w:t>
      </w:r>
    </w:p>
    <w:p>
      <w:pPr>
        <w:pStyle w:val="ListParagraph"/>
        <w:numPr>
          <w:ilvl w:val="0"/>
          <w:numId w:val="1"/>
        </w:numPr>
        <w:spacing w:after="120"/>
      </w:pPr>
      <w:r>
        <w:t xml:space="preserve">Owner:</w:t>
      </w:r>
      <w:r>
        <w:t xml:space="preserve"> Project Lead (Michael O’Brien)</w:t>
      </w:r>
    </w:p>
    <w:p>
      <w:pPr>
        <w:pStyle w:val="ListParagraph"/>
        <w:numPr>
          <w:ilvl w:val="0"/>
          <w:numId w:val="1"/>
        </w:numPr>
        <w:spacing w:after="120"/>
      </w:pPr>
      <w:r>
        <w:t xml:space="preserve">Date:</w:t>
      </w:r>
      <w:r>
        <w:t xml:space="preserve"> April 15, 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2025-12-18T12:57:38.649Z</dcterms:created>
  <dcterms:modified xsi:type="dcterms:W3CDTF">2025-12-18T12:57:38.649Z</dcterms:modified>
</cp:coreProperties>
</file>

<file path=docProps/custom.xml><?xml version="1.0" encoding="utf-8"?>
<Properties xmlns="http://schemas.openxmlformats.org/officeDocument/2006/custom-properties" xmlns:vt="http://schemas.openxmlformats.org/officeDocument/2006/docPropsVTypes"/>
</file>