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0000"/>
        </w:rPr>
      </w:pPr>
      <w:r>
        <w:rPr/>
        <w:t xml:space="preserve">                                        </w:t>
      </w:r>
      <w:r>
        <w:rPr/>
        <w:t xml:space="preserve">Date: </w:t>
      </w:r>
      <w:r>
        <w:rPr/>
        <w:t>29</w:t>
      </w:r>
      <w:r>
        <w:rPr/>
        <w:t xml:space="preserve"> </w:t>
      </w:r>
      <w:r>
        <w:rPr/>
        <w:t>May</w:t>
      </w:r>
      <w:r>
        <w:rPr/>
        <w:t>, 2026</w:t>
      </w:r>
    </w:p>
    <w:p>
      <w:pPr>
        <w:pStyle w:val="Normal"/>
        <w:jc w:val="both"/>
        <w:rPr>
          <w:color w:val="000000"/>
        </w:rPr>
      </w:pPr>
      <w:r>
        <w:rPr/>
        <w:t>To,</w:t>
      </w:r>
    </w:p>
    <w:p>
      <w:pPr>
        <w:pStyle w:val="Normal"/>
        <w:jc w:val="both"/>
        <w:rPr>
          <w:color w:val="222222"/>
          <w:shd w:fill="FFFFFF" w:val="clear"/>
        </w:rPr>
      </w:pPr>
      <w:r>
        <w:rPr>
          <w:color w:val="222222"/>
          <w:shd w:fill="FFFFFF" w:val="clear"/>
        </w:rPr>
        <w:t>Editor</w:t>
      </w:r>
    </w:p>
    <w:p>
      <w:pPr>
        <w:pStyle w:val="Normal"/>
        <w:jc w:val="both"/>
        <w:rPr>
          <w:color w:val="000000"/>
        </w:rPr>
      </w:pPr>
      <w:r>
        <w:rPr>
          <w:color w:val="000000"/>
        </w:rPr>
      </w:r>
    </w:p>
    <w:p>
      <w:pPr>
        <w:pStyle w:val="Normal"/>
        <w:jc w:val="both"/>
        <w:rPr>
          <w:b/>
          <w:bCs/>
          <w:color w:val="FF0000"/>
        </w:rPr>
      </w:pPr>
      <w:r>
        <w:rPr>
          <w:b/>
          <w:bCs/>
        </w:rPr>
        <w:t>Ref:</w:t>
      </w:r>
      <w:r>
        <w:rPr/>
        <w:t xml:space="preserve"> Paper ID - ICSCSS-685</w:t>
      </w:r>
    </w:p>
    <w:p>
      <w:pPr>
        <w:pStyle w:val="Normal"/>
        <w:jc w:val="both"/>
        <w:rPr/>
      </w:pPr>
      <w:r>
        <w:rPr/>
      </w:r>
    </w:p>
    <w:p>
      <w:pPr>
        <w:pStyle w:val="Normal"/>
        <w:jc w:val="both"/>
        <w:rPr/>
      </w:pPr>
      <w:r>
        <w:rPr/>
        <w:t>Dear Editor</w:t>
      </w:r>
    </w:p>
    <w:p>
      <w:pPr>
        <w:pStyle w:val="Normal"/>
        <w:jc w:val="both"/>
        <w:rPr/>
      </w:pPr>
      <w:r>
        <w:rPr/>
      </w:r>
    </w:p>
    <w:p>
      <w:pPr>
        <w:pStyle w:val="Normal"/>
        <w:spacing w:lineRule="auto" w:line="360"/>
        <w:jc w:val="both"/>
        <w:rPr>
          <w:b/>
          <w:color w:themeColor="text1" w:val="000000"/>
          <w:sz w:val="32"/>
          <w:szCs w:val="32"/>
        </w:rPr>
      </w:pPr>
      <w:r>
        <w:rPr/>
        <w:t>We would like to express our gratitude to you and the esteemed reviewers for their thorough and detailed assessment of our manuscript, “</w:t>
      </w:r>
      <w:r>
        <w:rPr>
          <w:b/>
          <w:bCs/>
        </w:rPr>
        <w:t>Heterogeneous Multicore SoC Architecture for Real-Time Biomedical Data Analysis</w:t>
      </w:r>
      <w:r>
        <w:rPr>
          <w:b/>
          <w:color w:themeColor="text1" w:val="000000"/>
        </w:rPr>
        <w:t>”</w:t>
      </w:r>
      <w:r>
        <w:rPr/>
        <w:t xml:space="preserve">. Additionally, we would like to express our heartfelt appreciation to your editorial team for providing us with the opportunity to revise the manuscript. We are pleased that the manuscript has been thoroughly reviewed by a panel of distinguished reviewers and that their insightful comments and suggestions have been analyzed. </w:t>
      </w:r>
    </w:p>
    <w:p>
      <w:pPr>
        <w:pStyle w:val="Normal"/>
        <w:spacing w:lineRule="auto" w:line="360"/>
        <w:ind w:firstLine="270"/>
        <w:jc w:val="both"/>
        <w:rPr/>
      </w:pPr>
      <w:r>
        <w:rPr/>
        <w:t>We made a sincere effort to revise the manuscript in response to the reviewers' concerns. We believe that this revision improved the manuscript's technical merit and readability, for that we are grateful to the reviewers. The detailed point-by-point responses to the reviewers' comments are provided below.</w:t>
      </w:r>
    </w:p>
    <w:p>
      <w:pPr>
        <w:pStyle w:val="Normal"/>
        <w:spacing w:lineRule="auto" w:line="360"/>
        <w:jc w:val="both"/>
        <w:rPr/>
      </w:pPr>
      <w:r>
        <w:rPr/>
        <w:t xml:space="preserve">Thanking you, </w:t>
      </w:r>
    </w:p>
    <w:p>
      <w:pPr>
        <w:pStyle w:val="Normal"/>
        <w:jc w:val="both"/>
        <w:rPr>
          <w:color w:val="000000"/>
        </w:rPr>
      </w:pPr>
      <w:r>
        <w:rPr>
          <w:color w:val="000000"/>
        </w:rPr>
      </w:r>
    </w:p>
    <w:p>
      <w:pPr>
        <w:pStyle w:val="Normal"/>
        <w:jc w:val="both"/>
        <w:rPr>
          <w:color w:val="000000"/>
        </w:rPr>
      </w:pPr>
      <w:r>
        <w:rPr>
          <w:color w:val="000000"/>
        </w:rPr>
        <w:t>Yours sincerely,</w:t>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jc w:val="center"/>
        <w:textAlignment w:val="baseline"/>
        <w:rPr>
          <w:rStyle w:val="normaltextrun"/>
          <w:b/>
          <w:bCs/>
          <w:color w:val="000000"/>
          <w:sz w:val="28"/>
          <w:szCs w:val="28"/>
          <w:u w:val="single"/>
        </w:rPr>
      </w:pPr>
      <w:r>
        <w:rPr>
          <w:b/>
          <w:bCs/>
          <w:color w:val="000000"/>
          <w:sz w:val="28"/>
          <w:szCs w:val="28"/>
          <w:u w:val="single"/>
        </w:rPr>
      </w:r>
    </w:p>
    <w:p>
      <w:pPr>
        <w:pStyle w:val="paragraph"/>
        <w:spacing w:beforeAutospacing="0" w:before="0" w:afterAutospacing="0" w:after="0"/>
        <w:textAlignment w:val="baseline"/>
        <w:rPr>
          <w:rStyle w:val="normaltextrun"/>
          <w:b/>
          <w:bCs/>
          <w:color w:val="000000"/>
          <w:sz w:val="28"/>
          <w:szCs w:val="28"/>
          <w:u w:val="single"/>
        </w:rPr>
      </w:pPr>
      <w:r>
        <w:rPr>
          <w:b/>
          <w:bCs/>
          <w:color w:val="000000"/>
          <w:sz w:val="28"/>
          <w:szCs w:val="28"/>
          <w:u w:val="single"/>
        </w:rPr>
      </w:r>
    </w:p>
    <w:p>
      <w:pPr>
        <w:pStyle w:val="paragraph"/>
        <w:spacing w:before="280" w:after="280"/>
        <w:jc w:val="center"/>
        <w:textAlignment w:val="baseline"/>
        <w:rPr>
          <w:rStyle w:val="normaltextrun"/>
          <w:b/>
          <w:bCs/>
          <w:color w:themeColor="text1" w:val="000000"/>
        </w:rPr>
      </w:pPr>
      <w:r>
        <w:rPr>
          <w:rStyle w:val="normaltextrun"/>
          <w:b/>
          <w:bCs/>
          <w:color w:themeColor="text1" w:val="000000"/>
          <w:u w:val="single"/>
        </w:rPr>
        <w:t>Reviewer #1</w:t>
      </w:r>
    </w:p>
    <w:p>
      <w:pPr>
        <w:pStyle w:val="Normal"/>
        <w:jc w:val="both"/>
        <w:rPr/>
      </w:pPr>
      <w:r>
        <w:rPr/>
      </w:r>
    </w:p>
    <w:p>
      <w:pPr>
        <w:pStyle w:val="Normal"/>
        <w:spacing w:lineRule="auto" w:line="360"/>
        <w:jc w:val="both"/>
        <w:rPr/>
      </w:pPr>
      <w:r>
        <w:rPr>
          <w:b/>
          <w:lang w:val="en-IN" w:eastAsia="en-IN"/>
        </w:rPr>
        <w:t>Comment#1</w:t>
      </w:r>
      <w:r>
        <w:rPr>
          <w:lang w:val="en-IN" w:eastAsia="en-IN"/>
        </w:rPr>
        <w:t>: Justify the lack of power consumption analysis for real-time biomedical deployment.</w:t>
      </w:r>
    </w:p>
    <w:p>
      <w:pPr>
        <w:pStyle w:val="Normal"/>
        <w:spacing w:lineRule="auto" w:line="360" w:before="240" w:after="240"/>
        <w:jc w:val="both"/>
        <w:rPr>
          <w:color w:val="0000FF"/>
        </w:rPr>
      </w:pPr>
      <w:r>
        <w:rPr>
          <w:rStyle w:val="normaltextrun"/>
          <w:b/>
          <w:bCs/>
          <w:color w:val="0000FF"/>
        </w:rPr>
        <w:t>Response: Power Consumption Consideration and Justification</w:t>
      </w:r>
    </w:p>
    <w:p>
      <w:pPr>
        <w:pStyle w:val="Normal"/>
        <w:spacing w:lineRule="auto" w:line="360" w:before="240" w:after="240"/>
        <w:jc w:val="both"/>
        <w:rPr>
          <w:color w:val="0000FF"/>
        </w:rPr>
      </w:pPr>
      <w:r>
        <w:rPr>
          <w:rStyle w:val="normaltextrun"/>
          <w:b/>
          <w:bCs/>
          <w:color w:val="0000FF"/>
        </w:rPr>
        <w:t>In this paper, no exact physical power consumption data (in milliwatts) are given, because this is a stage where design is at an early implementation phase. The synthesis and functional verification of the system has been carried out on an FPGA platform to show structural feasibility. This initial architectural validation does not include a physical layout tape-out of the complete ASIC with specific technology node libraries to accurately estimate the power consumption of the ASIC. But this low-power operation is inherently guaranteed by a number of important architectural characteristics that are necessary to meet the requirements of portability for biomedical applications: Comparing the number of clock cycles used by offloading the FIR, FFT and CNN operations to dedicated hardware blocks with those used when performing these operations entirely in software on a general processor gives a significant improvement in clock cycles. The fewer active clock cycles translates into lower energy use in the form of dynamics. Single-Cycle Instruction Extensions: The custom VMAC and Bit-Reversal instructions perform complex multi-step mathematical operations in one hardware cycle, rather than consuming valuable power cycles by repeatedly fetching and storing instructions to memory.Minimized Off-Chip Communication: All raw data is continuously streaming, intermediate buffering, and neural network inferences are kept inside the on-chip SRAM, eliminating power-intensive off-chip memory or cloud network transmission, which usually make up a large portion of the energy consumption of wearable medical systems.</w:t>
      </w:r>
    </w:p>
    <w:p>
      <w:pPr>
        <w:pStyle w:val="Normal"/>
        <w:spacing w:lineRule="auto" w:line="360"/>
        <w:jc w:val="both"/>
        <w:rPr/>
      </w:pPr>
      <w:r>
        <w:rPr>
          <w:b/>
          <w:lang w:eastAsia="en-IN"/>
        </w:rPr>
        <w:t>Comment#2</w:t>
      </w:r>
      <w:r>
        <w:rPr>
          <w:lang w:val="en-IN" w:eastAsia="en-IN"/>
        </w:rPr>
        <w:t>: Explain how the architecture ensures reliability and fault tolerance in healthcare applications.</w:t>
      </w:r>
    </w:p>
    <w:p>
      <w:pPr>
        <w:pStyle w:val="Normal"/>
        <w:spacing w:lineRule="auto" w:line="360"/>
        <w:jc w:val="both"/>
        <w:rPr>
          <w:bCs/>
          <w:color w:val="0000FF"/>
        </w:rPr>
      </w:pPr>
      <w:r>
        <w:rPr>
          <w:rStyle w:val="normaltextrun"/>
          <w:b/>
          <w:bCs/>
          <w:color w:val="0000FF"/>
        </w:rPr>
        <w:t>Response:</w:t>
      </w:r>
      <w:r>
        <w:rPr>
          <w:rStyle w:val="normaltextrun"/>
          <w:bCs/>
          <w:color w:val="0000FF"/>
        </w:rPr>
        <w:t xml:space="preserve"> These elements result in intermediate FIFO hardware buffering to enhance reliability and fault tolerance for critical healthcare applications, as well as an isolated bus-priority management strategy. The buffering mechanism breaks connection between the various pipeline stages, avoiding any transient delay in processing or computational peaks in</w:t>
      </w:r>
    </w:p>
    <w:p>
      <w:pPr>
        <w:pStyle w:val="Normal"/>
        <w:spacing w:lineRule="auto" w:line="360"/>
        <w:jc w:val="both"/>
        <w:rPr>
          <w:bCs/>
          <w:color w:val="0000FF"/>
        </w:rPr>
      </w:pPr>
      <w:r>
        <w:rPr>
          <w:rStyle w:val="normaltextrun"/>
          <w:bCs/>
          <w:color w:val="0000FF"/>
        </w:rPr>
        <w:t xml:space="preserve"> </w:t>
      </w:r>
    </w:p>
    <w:p>
      <w:pPr>
        <w:pStyle w:val="Normal"/>
        <w:spacing w:lineRule="auto" w:line="360"/>
        <w:jc w:val="both"/>
        <w:rPr>
          <w:bCs/>
          <w:color w:val="0000FF"/>
        </w:rPr>
      </w:pPr>
      <w:r>
        <w:rPr/>
      </w:r>
    </w:p>
    <w:p>
      <w:pPr>
        <w:pStyle w:val="Normal"/>
        <w:spacing w:lineRule="auto" w:line="360"/>
        <w:jc w:val="both"/>
        <w:rPr>
          <w:bCs/>
          <w:color w:val="0000FF"/>
        </w:rPr>
      </w:pPr>
      <w:r>
        <w:rPr>
          <w:rStyle w:val="normaltextrun"/>
          <w:bCs/>
          <w:color w:val="0000FF"/>
        </w:rPr>
        <w:t xml:space="preserve">the heavy CNN accelerator from holding up the real-time front- end FIR filter. Moreover, it isolates core control tasks from the accelerators, and under high data loads, the critical </w:t>
      </w:r>
    </w:p>
    <w:p>
      <w:pPr>
        <w:pStyle w:val="Normal"/>
        <w:spacing w:lineRule="auto" w:line="360"/>
        <w:jc w:val="both"/>
        <w:rPr>
          <w:bCs/>
          <w:color w:val="0000FF"/>
        </w:rPr>
      </w:pPr>
      <w:r>
        <w:rPr>
          <w:rStyle w:val="normaltextrun"/>
          <w:bCs/>
          <w:color w:val="0000FF"/>
        </w:rPr>
        <w:t>hardware components such as the FIR and CNN modules have dedicated memory access, without bus contention or data loss, keeping the integrity of diagnostics unaffected.</w:t>
      </w:r>
    </w:p>
    <w:p>
      <w:pPr>
        <w:pStyle w:val="Normal"/>
        <w:spacing w:lineRule="auto" w:line="360"/>
        <w:jc w:val="both"/>
        <w:rPr>
          <w:rStyle w:val="normaltextrun"/>
          <w:bCs/>
          <w:color w:val="0000FF"/>
        </w:rPr>
      </w:pPr>
      <w:r>
        <w:rPr>
          <w:bCs/>
          <w:color w:val="0000FF"/>
        </w:rPr>
      </w:r>
    </w:p>
    <w:p>
      <w:pPr>
        <w:pStyle w:val="Normal"/>
        <w:spacing w:lineRule="auto" w:line="360"/>
        <w:jc w:val="both"/>
        <w:rPr/>
      </w:pPr>
      <w:r>
        <w:rPr>
          <w:b/>
          <w:lang w:eastAsia="en-IN"/>
        </w:rPr>
        <w:t>Comment#3</w:t>
      </w:r>
      <w:r>
        <w:rPr>
          <w:lang w:val="en-IN" w:eastAsia="en-IN"/>
        </w:rPr>
        <w:t>: It is suggested to address possible bottlenecks caused by shared memory and bus contention.</w:t>
      </w:r>
    </w:p>
    <w:p>
      <w:pPr>
        <w:pStyle w:val="Normal"/>
        <w:spacing w:lineRule="auto" w:line="360"/>
        <w:jc w:val="both"/>
        <w:rPr>
          <w:bCs/>
          <w:color w:val="0000FF"/>
          <w:shd w:fill="FFFFFF" w:val="clear"/>
        </w:rPr>
      </w:pPr>
      <w:r>
        <w:rPr>
          <w:rStyle w:val="normaltextrun"/>
          <w:b/>
          <w:bCs/>
          <w:color w:val="0033CC"/>
        </w:rPr>
        <w:t>Response:</w:t>
      </w:r>
      <w:r>
        <w:rPr>
          <w:bCs/>
          <w:color w:val="0000FF"/>
          <w:shd w:fill="FFFFFF" w:val="clear"/>
        </w:rPr>
        <w:t xml:space="preserve"> The architecture features a Time-Division Multiple Access (TDMA) arbitration mechanism on the system bus and localized ping pong buffering in the on-chip SRAM to reduce shared memory bottlenecks and bus contention. The light- weight system bus provides time slots with priorities to the high-throughput accelerators to avoid uncoordinated master requests. At the same time, the dual-banked ping pong buffer design provides simultaneous write access to the FIR filter to one bank of memory while the FFT or CNN is reading an alternate bank of memory. This structural isolation completely removes simultaneous access conflicts to the same memory locations, avoiding bus stalls and maintaining a continuous and real-time data flow.</w:t>
      </w:r>
    </w:p>
    <w:p>
      <w:pPr>
        <w:pStyle w:val="Normal"/>
        <w:spacing w:lineRule="auto" w:line="360"/>
        <w:jc w:val="both"/>
        <w:rPr/>
      </w:pPr>
      <w:r>
        <w:rPr>
          <w:b/>
          <w:lang w:eastAsia="en-IN"/>
        </w:rPr>
        <w:t>Comment#4</w:t>
      </w:r>
      <w:r>
        <w:rPr>
          <w:lang w:val="en-IN" w:eastAsia="en-IN"/>
        </w:rPr>
        <w:t>: No research citations like [1], [2], [3] should be given in the conclusion section. Check and remove</w:t>
      </w:r>
    </w:p>
    <w:p>
      <w:pPr>
        <w:pStyle w:val="Normal"/>
        <w:spacing w:lineRule="auto" w:line="360"/>
        <w:jc w:val="both"/>
        <w:rPr>
          <w:bCs/>
          <w:color w:val="0000FF"/>
          <w:shd w:fill="FFFFFF" w:val="clear"/>
        </w:rPr>
      </w:pPr>
      <w:r>
        <w:rPr>
          <w:b/>
          <w:color w:val="0000FF"/>
          <w:shd w:fill="FFFFFF" w:val="clear"/>
        </w:rPr>
        <w:t>Response:</w:t>
      </w:r>
      <w:r>
        <w:rPr>
          <w:bCs/>
          <w:color w:val="0000FF"/>
          <w:shd w:fill="FFFFFF" w:val="clear"/>
        </w:rPr>
        <w:t xml:space="preserve"> </w:t>
      </w:r>
    </w:p>
    <w:p>
      <w:pPr>
        <w:pStyle w:val="Normal"/>
        <w:spacing w:lineRule="auto" w:line="360"/>
        <w:jc w:val="both"/>
        <w:rPr>
          <w:bCs/>
          <w:color w:val="0000FF"/>
          <w:shd w:fill="FFFFFF" w:val="clear"/>
        </w:rPr>
      </w:pPr>
      <w:r>
        <w:rPr>
          <w:b/>
          <w:bCs/>
          <w:color w:val="0000FF"/>
          <w:u w:val="single"/>
          <w:shd w:fill="FFFFFF" w:val="clear"/>
        </w:rPr>
        <w:t>Updated-Conclusion</w:t>
      </w:r>
      <w:r>
        <w:rPr>
          <w:bCs/>
          <w:color w:val="0000FF"/>
          <w:shd w:fill="FFFFFF" w:val="clear"/>
        </w:rPr>
        <w:t>:</w:t>
      </w:r>
      <w:r>
        <w:rPr>
          <w:bCs/>
          <w:color w:val="0000FF"/>
          <w:shd w:fill="FFFFFF" w:val="clear"/>
        </w:rPr>
        <w:br/>
        <w:t>In this paper, a heterogeneous RISC-V based System on Chip was presented especially designed for biomedical data analysis in real-time. The architecture consists of a general purpose control core and specialized hardware units for FIR filtering, FFT processing and CNN-based classification, which enables the real time removal of noise and extraction of spectral features on the device, with automated cardiac diagnosis. The system combines use of targeted custom instruction extensions and dedicated hardware acceleration to provide accelerated processing throughput and minimal latency when compared to standard software-only architectures. Besides that, it keeps all calculations within the chip itself, which solidly safeguards patient information privacy by not having to share confidential healthcare data through external networks. Finally, these findings show that an open-source processor architecture, extended with application-specific hardware accelerators, offers an efficient, fast and secure platform for future portable biomedical monitoring and edge healthcare applications.</w:t>
      </w:r>
    </w:p>
    <w:p>
      <w:pPr>
        <w:pStyle w:val="Normal"/>
        <w:spacing w:lineRule="auto" w:line="360"/>
        <w:jc w:val="both"/>
        <w:rPr>
          <w:bCs/>
          <w:color w:val="0000FF"/>
          <w:shd w:fill="FFFFFF" w:val="clear"/>
        </w:rPr>
      </w:pPr>
      <w:r>
        <w:rPr>
          <w:bCs/>
          <w:color w:val="0000FF"/>
          <w:shd w:fill="FFFFFF" w:val="clear"/>
        </w:rPr>
      </w:r>
    </w:p>
    <w:p>
      <w:pPr>
        <w:pStyle w:val="Normal"/>
        <w:spacing w:lineRule="auto" w:line="360"/>
        <w:jc w:val="both"/>
        <w:rPr>
          <w:lang w:eastAsia="en-IN"/>
        </w:rPr>
      </w:pPr>
      <w:r>
        <w:rPr>
          <w:b/>
          <w:lang w:eastAsia="en-IN"/>
        </w:rPr>
        <w:t>Comment#5</w:t>
      </w:r>
      <w:r>
        <w:rPr>
          <w:lang w:val="en-IN" w:eastAsia="en-IN"/>
        </w:rPr>
        <w:t xml:space="preserve">: </w:t>
      </w:r>
      <w:r>
        <w:rPr>
          <w:lang w:val="en-IN" w:eastAsia="en-IN"/>
        </w:rPr>
        <w:t>For the other comments in Section – “Comments 2”:</w:t>
      </w:r>
    </w:p>
    <w:p>
      <w:pPr>
        <w:pStyle w:val="Normal"/>
        <w:spacing w:lineRule="auto" w:line="360"/>
        <w:jc w:val="both"/>
        <w:rPr>
          <w:bCs/>
          <w:color w:val="0000FF"/>
          <w:shd w:fill="FFFFFF" w:val="clear"/>
        </w:rPr>
      </w:pPr>
      <w:r>
        <w:rPr>
          <w:bCs/>
          <w:color w:val="0000FF"/>
          <w:shd w:fill="FFFFFF" w:val="clear"/>
        </w:rPr>
        <w:t>Proposed heterogeneous SoC functionality and architecture have been evaluated using RTL simulations and FPGA (hardware synthesis). The custom VMAC instruction is used to compute the inner loops of the digital filter in a way that is successful in deterministically calculating the computationally intensive inner loops, as logged in the data stream format (Fig. 4). The proposed hardware-managed FIR architecture is demonstrated to achieve better noise rejection properties and to yield clinically relevant measures of the ECG signal without any phase distortion or latency penalty, and with relatively less sensitivity to high frequency artifacts. The streams are decoupled and the hardware implemented FFT engine uses the custom bit-reversal indexing logic to keep the real-time spectral decomposition. The result shows a high classification accuracy rate of 94.2% for the 8 cardiac classifications, such as complex arrhythmia patterns (PVC and Tachycardia) without transferring any sensitive variables to external networks, proving the ability of the on-chip CNN accelerator to handle the resulting spatial-spectral feature maps correctly. Furthermore, the hardware synthesis metrics (Fig. 6) confirm that the tightly coupled interconnect fabric guarantees no structural hazard, thus verifying that the optimization of the edge-healthcare framework has resulted in a framework with a high performance, high throughput offering custom ISA extensions as well as specialized DSP and neural pipelines.</w:t>
      </w:r>
    </w:p>
    <w:p>
      <w:pPr>
        <w:pStyle w:val="Normal"/>
        <w:spacing w:lineRule="auto" w:line="360"/>
        <w:jc w:val="both"/>
        <w:rPr>
          <w:bCs/>
          <w:color w:val="0000FF"/>
          <w:shd w:fill="FFFFFF" w:val="clear"/>
        </w:rPr>
      </w:pPr>
      <w:r>
        <w:rPr/>
      </w:r>
    </w:p>
    <w:p>
      <w:pPr>
        <w:pStyle w:val="Normal"/>
        <w:spacing w:lineRule="auto" w:line="360"/>
        <w:jc w:val="both"/>
        <w:rPr>
          <w:bCs/>
          <w:color w:val="0000FF"/>
          <w:shd w:fill="FFFFFF" w:val="clear"/>
        </w:rPr>
      </w:pPr>
      <w:r>
        <w:rPr/>
      </w:r>
    </w:p>
    <w:tbl>
      <w:tblPr>
        <w:tblW w:w="4926" w:type="dxa"/>
        <w:jc w:val="left"/>
        <w:tblInd w:w="151" w:type="dxa"/>
        <w:tblLayout w:type="fixed"/>
        <w:tblCellMar>
          <w:top w:w="0" w:type="dxa"/>
          <w:left w:w="5" w:type="dxa"/>
          <w:bottom w:w="0" w:type="dxa"/>
          <w:right w:w="5" w:type="dxa"/>
        </w:tblCellMar>
        <w:tblLook w:val="01e0" w:noHBand="0" w:noVBand="0" w:firstColumn="1" w:lastRow="1" w:lastColumn="1" w:firstRow="1"/>
      </w:tblPr>
      <w:tblGrid>
        <w:gridCol w:w="1059"/>
        <w:gridCol w:w="1392"/>
        <w:gridCol w:w="2475"/>
      </w:tblGrid>
      <w:tr>
        <w:trPr>
          <w:trHeight w:val="251" w:hRule="atLeast"/>
        </w:trPr>
        <w:tc>
          <w:tcPr>
            <w:tcW w:w="1059" w:type="dxa"/>
            <w:tcBorders>
              <w:top w:val="single" w:sz="4" w:space="0" w:color="000000"/>
              <w:left w:val="single" w:sz="4" w:space="0" w:color="000000"/>
              <w:bottom w:val="single" w:sz="4" w:space="0" w:color="000000"/>
              <w:right w:val="single" w:sz="4" w:space="0" w:color="000000"/>
            </w:tcBorders>
          </w:tcPr>
          <w:p>
            <w:pPr>
              <w:pStyle w:val="TableParagraph"/>
              <w:spacing w:lineRule="exact" w:line="232"/>
              <w:jc w:val="both"/>
              <w:rPr>
                <w:b/>
              </w:rPr>
            </w:pPr>
            <w:r>
              <w:rPr>
                <w:b/>
                <w:spacing w:val="-2"/>
              </w:rPr>
              <w:t>Metric</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spacing w:lineRule="exact" w:line="232"/>
              <w:ind w:left="24"/>
              <w:jc w:val="both"/>
              <w:rPr>
                <w:b/>
              </w:rPr>
            </w:pPr>
            <w:r>
              <w:rPr>
                <w:b/>
              </w:rPr>
              <w:t>Value</w:t>
            </w:r>
            <w:r>
              <w:rPr>
                <w:b/>
                <w:spacing w:val="-4"/>
              </w:rPr>
              <w:t xml:space="preserve"> </w:t>
            </w:r>
            <w:r>
              <w:rPr>
                <w:b/>
                <w:spacing w:val="-5"/>
              </w:rPr>
              <w:t>(%)</w:t>
            </w:r>
          </w:p>
        </w:tc>
        <w:tc>
          <w:tcPr>
            <w:tcW w:w="2475" w:type="dxa"/>
            <w:tcBorders>
              <w:top w:val="single" w:sz="4" w:space="0" w:color="000000"/>
              <w:left w:val="single" w:sz="4" w:space="0" w:color="000000"/>
              <w:bottom w:val="single" w:sz="4" w:space="0" w:color="000000"/>
              <w:right w:val="single" w:sz="4" w:space="0" w:color="000000"/>
            </w:tcBorders>
          </w:tcPr>
          <w:p>
            <w:pPr>
              <w:pStyle w:val="TableParagraph"/>
              <w:spacing w:lineRule="exact" w:line="232"/>
              <w:ind w:left="696"/>
              <w:jc w:val="both"/>
              <w:rPr>
                <w:b/>
              </w:rPr>
            </w:pPr>
            <w:r>
              <w:rPr>
                <w:b/>
                <w:spacing w:val="-2"/>
              </w:rPr>
              <w:t>Description</w:t>
            </w:r>
          </w:p>
        </w:tc>
      </w:tr>
      <w:tr>
        <w:trPr>
          <w:trHeight w:val="505" w:hRule="atLeast"/>
        </w:trPr>
        <w:tc>
          <w:tcPr>
            <w:tcW w:w="1059" w:type="dxa"/>
            <w:tcBorders>
              <w:top w:val="single" w:sz="4" w:space="0" w:color="000000"/>
              <w:left w:val="single" w:sz="4" w:space="0" w:color="000000"/>
              <w:bottom w:val="single" w:sz="4" w:space="0" w:color="000000"/>
              <w:right w:val="single" w:sz="4" w:space="0" w:color="000000"/>
            </w:tcBorders>
          </w:tcPr>
          <w:p>
            <w:pPr>
              <w:pStyle w:val="TableParagraph"/>
              <w:spacing w:before="1" w:after="0"/>
              <w:jc w:val="both"/>
              <w:rPr/>
            </w:pPr>
            <w:r>
              <w:rPr>
                <w:spacing w:val="-2"/>
              </w:rPr>
              <w:t>Accuracy</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4" w:right="8"/>
              <w:jc w:val="both"/>
              <w:rPr/>
            </w:pPr>
            <w:r>
              <w:rPr>
                <w:spacing w:val="-4"/>
              </w:rPr>
              <w:t>94.2</w:t>
            </w:r>
          </w:p>
        </w:tc>
        <w:tc>
          <w:tcPr>
            <w:tcW w:w="2475" w:type="dxa"/>
            <w:tcBorders>
              <w:top w:val="single" w:sz="4" w:space="0" w:color="000000"/>
              <w:left w:val="single" w:sz="4" w:space="0" w:color="000000"/>
              <w:bottom w:val="single" w:sz="4" w:space="0" w:color="000000"/>
              <w:right w:val="single" w:sz="4" w:space="0" w:color="000000"/>
            </w:tcBorders>
          </w:tcPr>
          <w:p>
            <w:pPr>
              <w:pStyle w:val="TableParagraph"/>
              <w:spacing w:lineRule="exact" w:line="252"/>
              <w:ind w:firstLine="108" w:left="468"/>
              <w:jc w:val="both"/>
              <w:rPr/>
            </w:pPr>
            <w:r>
              <w:rPr/>
              <w:t xml:space="preserve">Overall correct </w:t>
            </w:r>
            <w:r>
              <w:rPr>
                <w:spacing w:val="-2"/>
              </w:rPr>
              <w:t>classification</w:t>
            </w:r>
            <w:r>
              <w:rPr>
                <w:spacing w:val="-16"/>
              </w:rPr>
              <w:t xml:space="preserve"> </w:t>
            </w:r>
            <w:r>
              <w:rPr>
                <w:spacing w:val="-2"/>
              </w:rPr>
              <w:t>rate</w:t>
            </w:r>
          </w:p>
        </w:tc>
      </w:tr>
      <w:tr>
        <w:trPr>
          <w:trHeight w:val="506" w:hRule="atLeast"/>
        </w:trPr>
        <w:tc>
          <w:tcPr>
            <w:tcW w:w="105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5"/>
              <w:jc w:val="both"/>
              <w:rPr/>
            </w:pPr>
            <w:r>
              <w:rPr>
                <w:spacing w:val="-2"/>
              </w:rPr>
              <w:t>Precision</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4" w:right="8"/>
              <w:jc w:val="both"/>
              <w:rPr/>
            </w:pPr>
            <w:r>
              <w:rPr>
                <w:spacing w:val="-4"/>
              </w:rPr>
              <w:t>93.5</w:t>
            </w:r>
          </w:p>
        </w:tc>
        <w:tc>
          <w:tcPr>
            <w:tcW w:w="2475" w:type="dxa"/>
            <w:tcBorders>
              <w:top w:val="single" w:sz="4" w:space="0" w:color="000000"/>
              <w:left w:val="single" w:sz="4" w:space="0" w:color="000000"/>
              <w:bottom w:val="single" w:sz="4" w:space="0" w:color="000000"/>
              <w:right w:val="single" w:sz="4" w:space="0" w:color="000000"/>
            </w:tcBorders>
          </w:tcPr>
          <w:p>
            <w:pPr>
              <w:pStyle w:val="TableParagraph"/>
              <w:spacing w:lineRule="exact" w:line="252"/>
              <w:ind w:hanging="180" w:left="564"/>
              <w:jc w:val="both"/>
              <w:rPr/>
            </w:pPr>
            <w:r>
              <w:rPr>
                <w:spacing w:val="-2"/>
              </w:rPr>
              <w:t>Correctly</w:t>
            </w:r>
            <w:r>
              <w:rPr>
                <w:spacing w:val="-14"/>
              </w:rPr>
              <w:t xml:space="preserve"> </w:t>
            </w:r>
            <w:r>
              <w:rPr>
                <w:spacing w:val="-2"/>
              </w:rPr>
              <w:t xml:space="preserve">predicted </w:t>
            </w:r>
            <w:r>
              <w:rPr/>
              <w:t>abnormal cases</w:t>
            </w:r>
          </w:p>
        </w:tc>
      </w:tr>
      <w:tr>
        <w:trPr>
          <w:trHeight w:val="503" w:hRule="atLeast"/>
        </w:trPr>
        <w:tc>
          <w:tcPr>
            <w:tcW w:w="105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8"/>
              <w:jc w:val="both"/>
              <w:rPr/>
            </w:pPr>
            <w:r>
              <w:rPr>
                <w:spacing w:val="-2"/>
              </w:rPr>
              <w:t>Recall</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4" w:right="8"/>
              <w:jc w:val="both"/>
              <w:rPr/>
            </w:pPr>
            <w:r>
              <w:rPr>
                <w:spacing w:val="-4"/>
              </w:rPr>
              <w:t>92.8</w:t>
            </w:r>
          </w:p>
        </w:tc>
        <w:tc>
          <w:tcPr>
            <w:tcW w:w="2475"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233"/>
              <w:jc w:val="both"/>
              <w:rPr/>
            </w:pPr>
            <w:r>
              <w:rPr>
                <w:spacing w:val="-2"/>
              </w:rPr>
              <w:t>Ability</w:t>
            </w:r>
            <w:r>
              <w:rPr>
                <w:spacing w:val="-10"/>
              </w:rPr>
              <w:t xml:space="preserve"> </w:t>
            </w:r>
            <w:r>
              <w:rPr>
                <w:spacing w:val="-2"/>
              </w:rPr>
              <w:t>to</w:t>
            </w:r>
            <w:r>
              <w:rPr>
                <w:spacing w:val="-5"/>
              </w:rPr>
              <w:t xml:space="preserve"> </w:t>
            </w:r>
            <w:r>
              <w:rPr>
                <w:spacing w:val="-2"/>
              </w:rPr>
              <w:t>detect actual</w:t>
            </w:r>
          </w:p>
          <w:p>
            <w:pPr>
              <w:pStyle w:val="TableParagraph"/>
              <w:spacing w:lineRule="exact" w:line="235"/>
              <w:ind w:left="338"/>
              <w:jc w:val="both"/>
              <w:rPr/>
            </w:pPr>
            <w:r>
              <w:rPr/>
              <w:t>abnormal</w:t>
            </w:r>
            <w:r>
              <w:rPr>
                <w:spacing w:val="-3"/>
              </w:rPr>
              <w:t xml:space="preserve"> </w:t>
            </w:r>
            <w:r>
              <w:rPr>
                <w:spacing w:val="-2"/>
              </w:rPr>
              <w:t>conditions</w:t>
            </w:r>
          </w:p>
        </w:tc>
      </w:tr>
      <w:tr>
        <w:trPr>
          <w:trHeight w:val="506" w:hRule="atLeast"/>
        </w:trPr>
        <w:tc>
          <w:tcPr>
            <w:tcW w:w="105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0"/>
              <w:jc w:val="both"/>
              <w:rPr/>
            </w:pPr>
            <w:r>
              <w:rPr>
                <w:spacing w:val="-3"/>
              </w:rPr>
              <w:t>F1-</w:t>
            </w:r>
            <w:r>
              <w:rPr>
                <w:spacing w:val="-2"/>
              </w:rPr>
              <w:t>Score</w:t>
            </w:r>
          </w:p>
        </w:tc>
        <w:tc>
          <w:tcPr>
            <w:tcW w:w="1392"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4" w:right="8"/>
              <w:jc w:val="both"/>
              <w:rPr/>
            </w:pPr>
            <w:r>
              <w:rPr>
                <w:spacing w:val="-4"/>
              </w:rPr>
              <w:t>93.1</w:t>
            </w:r>
          </w:p>
        </w:tc>
        <w:tc>
          <w:tcPr>
            <w:tcW w:w="2475"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489"/>
              <w:jc w:val="both"/>
              <w:rPr/>
            </w:pPr>
            <w:r>
              <w:rPr/>
              <w:t>Balance</w:t>
            </w:r>
            <w:r>
              <w:rPr>
                <w:spacing w:val="-4"/>
              </w:rPr>
              <w:t xml:space="preserve"> </w:t>
            </w:r>
            <w:r>
              <w:rPr>
                <w:spacing w:val="-2"/>
              </w:rPr>
              <w:t>between</w:t>
            </w:r>
          </w:p>
          <w:p>
            <w:pPr>
              <w:pStyle w:val="TableParagraph"/>
              <w:spacing w:lineRule="exact" w:line="238"/>
              <w:ind w:left="377"/>
              <w:jc w:val="both"/>
              <w:rPr/>
            </w:pPr>
            <w:r>
              <w:rPr/>
              <w:t>precision</w:t>
            </w:r>
            <w:r>
              <w:rPr>
                <w:spacing w:val="-7"/>
              </w:rPr>
              <w:t xml:space="preserve"> </w:t>
            </w:r>
            <w:r>
              <w:rPr/>
              <w:t>and</w:t>
            </w:r>
            <w:r>
              <w:rPr>
                <w:spacing w:val="-7"/>
              </w:rPr>
              <w:t xml:space="preserve"> </w:t>
            </w:r>
            <w:r>
              <w:rPr>
                <w:spacing w:val="-2"/>
              </w:rPr>
              <w:t>recall</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60"/>
        <w:jc w:val="both"/>
        <w:rPr>
          <w:bCs/>
          <w:color w:val="0000FF"/>
          <w:shd w:fill="FFFFFF" w:val="clear"/>
        </w:rPr>
      </w:pPr>
      <w:r>
        <w:rPr/>
      </w:r>
    </w:p>
    <w:tbl>
      <w:tblPr>
        <w:tblW w:w="10146" w:type="dxa"/>
        <w:jc w:val="left"/>
        <w:tblInd w:w="151" w:type="dxa"/>
        <w:tblLayout w:type="fixed"/>
        <w:tblCellMar>
          <w:top w:w="0" w:type="dxa"/>
          <w:left w:w="5" w:type="dxa"/>
          <w:bottom w:w="0" w:type="dxa"/>
          <w:right w:w="5" w:type="dxa"/>
        </w:tblCellMar>
        <w:tblLook w:val="01e0" w:noHBand="0" w:noVBand="0" w:firstColumn="1" w:lastRow="1" w:lastColumn="1" w:firstRow="1"/>
      </w:tblPr>
      <w:tblGrid>
        <w:gridCol w:w="2491"/>
        <w:gridCol w:w="2297"/>
        <w:gridCol w:w="2285"/>
        <w:gridCol w:w="3073"/>
      </w:tblGrid>
      <w:tr>
        <w:trPr>
          <w:trHeight w:val="683" w:hRule="atLeast"/>
        </w:trPr>
        <w:tc>
          <w:tcPr>
            <w:tcW w:w="2491" w:type="dxa"/>
            <w:tcBorders>
              <w:top w:val="single" w:sz="4" w:space="0" w:color="000000"/>
              <w:left w:val="single" w:sz="4" w:space="0" w:color="000000"/>
              <w:bottom w:val="single" w:sz="4" w:space="0" w:color="000000"/>
              <w:right w:val="single" w:sz="4" w:space="0" w:color="000000"/>
            </w:tcBorders>
          </w:tcPr>
          <w:p>
            <w:pPr>
              <w:pStyle w:val="TableParagraph"/>
              <w:ind w:hanging="245" w:left="993" w:right="288"/>
              <w:jc w:val="both"/>
              <w:rPr>
                <w:b/>
              </w:rPr>
            </w:pPr>
            <w:r>
              <w:rPr>
                <w:b/>
                <w:spacing w:val="-4"/>
              </w:rPr>
              <w:t xml:space="preserve">Processing </w:t>
            </w:r>
            <w:r>
              <w:rPr>
                <w:b/>
                <w:spacing w:val="-2"/>
              </w:rPr>
              <w:t>Stage</w:t>
            </w:r>
          </w:p>
        </w:tc>
        <w:tc>
          <w:tcPr>
            <w:tcW w:w="2297" w:type="dxa"/>
            <w:tcBorders>
              <w:top w:val="single" w:sz="4" w:space="0" w:color="000000"/>
              <w:left w:val="single" w:sz="4" w:space="0" w:color="000000"/>
              <w:bottom w:val="single" w:sz="4" w:space="0" w:color="000000"/>
              <w:right w:val="single" w:sz="4" w:space="0" w:color="000000"/>
            </w:tcBorders>
          </w:tcPr>
          <w:p>
            <w:pPr>
              <w:pStyle w:val="TableParagraph"/>
              <w:ind w:firstLine="5" w:left="921" w:right="900"/>
              <w:jc w:val="both"/>
              <w:rPr>
                <w:b/>
              </w:rPr>
            </w:pPr>
            <w:r>
              <w:rPr>
                <w:b/>
                <w:spacing w:val="-4"/>
              </w:rPr>
              <w:t xml:space="preserve">Data </w:t>
            </w:r>
            <w:r>
              <w:rPr>
                <w:b/>
                <w:spacing w:val="-7"/>
              </w:rPr>
              <w:t>Type</w:t>
            </w:r>
          </w:p>
        </w:tc>
        <w:tc>
          <w:tcPr>
            <w:tcW w:w="2285" w:type="dxa"/>
            <w:tcBorders>
              <w:top w:val="single" w:sz="4" w:space="0" w:color="000000"/>
              <w:left w:val="single" w:sz="4" w:space="0" w:color="000000"/>
              <w:bottom w:val="single" w:sz="4" w:space="0" w:color="000000"/>
              <w:right w:val="single" w:sz="4" w:space="0" w:color="000000"/>
            </w:tcBorders>
          </w:tcPr>
          <w:p>
            <w:pPr>
              <w:pStyle w:val="TableParagraph"/>
              <w:ind w:firstLine="480" w:left="437" w:right="430"/>
              <w:jc w:val="both"/>
              <w:rPr>
                <w:b/>
              </w:rPr>
            </w:pPr>
            <w:r>
              <w:rPr>
                <w:b/>
                <w:spacing w:val="-4"/>
              </w:rPr>
              <w:t>Data</w:t>
            </w:r>
            <w:r>
              <w:rPr>
                <w:b/>
                <w:spacing w:val="80"/>
              </w:rPr>
              <w:t xml:space="preserve"> </w:t>
            </w:r>
            <w:r>
              <w:rPr>
                <w:b/>
                <w:spacing w:val="-2"/>
              </w:rPr>
              <w:t>Rate</w:t>
            </w:r>
            <w:r>
              <w:rPr>
                <w:b/>
                <w:spacing w:val="-14"/>
              </w:rPr>
              <w:t xml:space="preserve"> </w:t>
            </w:r>
            <w:r>
              <w:rPr>
                <w:b/>
                <w:spacing w:val="-2"/>
              </w:rPr>
              <w:t>(Approx.)</w:t>
            </w:r>
          </w:p>
        </w:tc>
        <w:tc>
          <w:tcPr>
            <w:tcW w:w="3073" w:type="dxa"/>
            <w:tcBorders>
              <w:top w:val="single" w:sz="4" w:space="0" w:color="000000"/>
              <w:left w:val="single" w:sz="4" w:space="0" w:color="000000"/>
              <w:bottom w:val="single" w:sz="4" w:space="0" w:color="000000"/>
              <w:right w:val="single" w:sz="4" w:space="0" w:color="000000"/>
            </w:tcBorders>
          </w:tcPr>
          <w:p>
            <w:pPr>
              <w:pStyle w:val="TableParagraph"/>
              <w:ind w:firstLine="141" w:left="881"/>
              <w:jc w:val="both"/>
              <w:rPr>
                <w:b/>
              </w:rPr>
            </w:pPr>
            <w:r>
              <w:rPr>
                <w:b/>
                <w:spacing w:val="-2"/>
              </w:rPr>
              <w:t xml:space="preserve">Bandwidth </w:t>
            </w:r>
            <w:r>
              <w:rPr>
                <w:b/>
                <w:spacing w:val="-4"/>
              </w:rPr>
              <w:t>Requirements</w:t>
            </w:r>
          </w:p>
        </w:tc>
      </w:tr>
      <w:tr>
        <w:trPr>
          <w:trHeight w:val="357" w:hRule="atLeast"/>
        </w:trPr>
        <w:tc>
          <w:tcPr>
            <w:tcW w:w="2491"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6" w:right="6"/>
              <w:rPr/>
            </w:pPr>
            <w:r>
              <w:rPr/>
              <w:t>Input</w:t>
            </w:r>
            <w:r>
              <w:rPr>
                <w:spacing w:val="-1"/>
              </w:rPr>
              <w:t xml:space="preserve"> </w:t>
            </w:r>
            <w:r>
              <w:rPr>
                <w:spacing w:val="-2"/>
              </w:rPr>
              <w:t>Signal</w:t>
            </w:r>
          </w:p>
        </w:tc>
        <w:tc>
          <w:tcPr>
            <w:tcW w:w="2297"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4" w:right="5"/>
              <w:rPr/>
            </w:pPr>
            <w:r>
              <w:rPr/>
              <w:t>Raw</w:t>
            </w:r>
            <w:r>
              <w:rPr>
                <w:spacing w:val="-6"/>
              </w:rPr>
              <w:t xml:space="preserve"> </w:t>
            </w:r>
            <w:r>
              <w:rPr/>
              <w:t>ECG</w:t>
            </w:r>
            <w:r>
              <w:rPr>
                <w:spacing w:val="-5"/>
              </w:rPr>
              <w:t xml:space="preserve"> </w:t>
            </w:r>
            <w:r>
              <w:rPr>
                <w:spacing w:val="-2"/>
              </w:rPr>
              <w:t>Sample</w:t>
            </w:r>
          </w:p>
        </w:tc>
        <w:tc>
          <w:tcPr>
            <w:tcW w:w="2285"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2" w:right="3"/>
              <w:rPr/>
            </w:pPr>
            <w:r>
              <w:rPr/>
              <w:t>250-500</w:t>
            </w:r>
            <w:r>
              <w:rPr>
                <w:spacing w:val="-5"/>
              </w:rPr>
              <w:t xml:space="preserve"> </w:t>
            </w:r>
            <w:r>
              <w:rPr>
                <w:spacing w:val="-2"/>
              </w:rPr>
              <w:t>samples/sec</w:t>
            </w:r>
          </w:p>
        </w:tc>
        <w:tc>
          <w:tcPr>
            <w:tcW w:w="3073"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7" w:right="1"/>
              <w:rPr/>
            </w:pPr>
            <w:r>
              <w:rPr>
                <w:spacing w:val="-5"/>
              </w:rPr>
              <w:t>Low</w:t>
            </w:r>
          </w:p>
        </w:tc>
      </w:tr>
      <w:tr>
        <w:trPr>
          <w:trHeight w:val="273" w:hRule="atLeast"/>
        </w:trPr>
        <w:tc>
          <w:tcPr>
            <w:tcW w:w="2491"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6" w:right="3"/>
              <w:rPr/>
            </w:pPr>
            <w:r>
              <w:rPr/>
              <w:t>FIR</w:t>
            </w:r>
            <w:r>
              <w:rPr>
                <w:spacing w:val="-6"/>
              </w:rPr>
              <w:t xml:space="preserve"> </w:t>
            </w:r>
            <w:r>
              <w:rPr>
                <w:spacing w:val="-2"/>
              </w:rPr>
              <w:t>Filter</w:t>
            </w:r>
          </w:p>
        </w:tc>
        <w:tc>
          <w:tcPr>
            <w:tcW w:w="2297"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4" w:right="6"/>
              <w:rPr/>
            </w:pPr>
            <w:r>
              <w:rPr/>
              <w:t>Filtered</w:t>
            </w:r>
            <w:r>
              <w:rPr>
                <w:spacing w:val="-10"/>
              </w:rPr>
              <w:t xml:space="preserve"> </w:t>
            </w:r>
            <w:r>
              <w:rPr>
                <w:spacing w:val="-2"/>
              </w:rPr>
              <w:t>Signal</w:t>
            </w:r>
          </w:p>
        </w:tc>
        <w:tc>
          <w:tcPr>
            <w:tcW w:w="2285"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2" w:right="6"/>
              <w:rPr/>
            </w:pPr>
            <w:r>
              <w:rPr/>
              <w:t>Continues</w:t>
            </w:r>
            <w:r>
              <w:rPr>
                <w:spacing w:val="-12"/>
              </w:rPr>
              <w:t xml:space="preserve"> </w:t>
            </w:r>
            <w:r>
              <w:rPr>
                <w:spacing w:val="-2"/>
              </w:rPr>
              <w:t>Stream</w:t>
            </w:r>
          </w:p>
        </w:tc>
        <w:tc>
          <w:tcPr>
            <w:tcW w:w="3073"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27"/>
              <w:rPr/>
            </w:pPr>
            <w:r>
              <w:rPr>
                <w:spacing w:val="-2"/>
              </w:rPr>
              <w:t>Moderate</w:t>
            </w:r>
          </w:p>
        </w:tc>
      </w:tr>
      <w:tr>
        <w:trPr>
          <w:trHeight w:val="328" w:hRule="atLeast"/>
        </w:trPr>
        <w:tc>
          <w:tcPr>
            <w:tcW w:w="249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6" w:right="3"/>
              <w:rPr/>
            </w:pPr>
            <w:r>
              <w:rPr/>
              <w:t>FFT</w:t>
            </w:r>
            <w:r>
              <w:rPr>
                <w:spacing w:val="-5"/>
              </w:rPr>
              <w:t xml:space="preserve"> </w:t>
            </w:r>
            <w:r>
              <w:rPr>
                <w:spacing w:val="-2"/>
              </w:rPr>
              <w:t>Module</w:t>
            </w:r>
          </w:p>
        </w:tc>
        <w:tc>
          <w:tcPr>
            <w:tcW w:w="2297"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4"/>
              <w:rPr/>
            </w:pPr>
            <w:r>
              <w:rPr/>
              <w:t>Frequency</w:t>
            </w:r>
            <w:r>
              <w:rPr>
                <w:spacing w:val="-9"/>
              </w:rPr>
              <w:t xml:space="preserve"> </w:t>
            </w:r>
            <w:r>
              <w:rPr>
                <w:spacing w:val="-5"/>
              </w:rPr>
              <w:t>map</w:t>
            </w:r>
          </w:p>
        </w:tc>
        <w:tc>
          <w:tcPr>
            <w:tcW w:w="228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2"/>
              <w:rPr/>
            </w:pPr>
            <w:r>
              <w:rPr/>
              <w:t>Block</w:t>
            </w:r>
            <w:r>
              <w:rPr>
                <w:spacing w:val="-5"/>
              </w:rPr>
              <w:t xml:space="preserve"> </w:t>
            </w:r>
            <w:r>
              <w:rPr>
                <w:spacing w:val="-2"/>
              </w:rPr>
              <w:t>Based</w:t>
            </w:r>
          </w:p>
        </w:tc>
        <w:tc>
          <w:tcPr>
            <w:tcW w:w="3073"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27"/>
              <w:rPr/>
            </w:pPr>
            <w:r>
              <w:rPr>
                <w:spacing w:val="-2"/>
              </w:rPr>
              <w:t>Moderate</w:t>
            </w:r>
          </w:p>
        </w:tc>
      </w:tr>
      <w:tr>
        <w:trPr>
          <w:trHeight w:val="405" w:hRule="atLeast"/>
        </w:trPr>
        <w:tc>
          <w:tcPr>
            <w:tcW w:w="249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rPr/>
            </w:pPr>
            <w:r>
              <w:rPr/>
              <w:t>CNN</w:t>
            </w:r>
            <w:r>
              <w:rPr>
                <w:spacing w:val="-8"/>
              </w:rPr>
              <w:t xml:space="preserve"> </w:t>
            </w:r>
            <w:r>
              <w:rPr>
                <w:spacing w:val="-2"/>
              </w:rPr>
              <w:t>Accelerator</w:t>
            </w:r>
          </w:p>
        </w:tc>
        <w:tc>
          <w:tcPr>
            <w:tcW w:w="2297"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24" w:right="4"/>
              <w:rPr/>
            </w:pPr>
            <w:r>
              <w:rPr/>
              <w:t>Features</w:t>
            </w:r>
            <w:r>
              <w:rPr>
                <w:spacing w:val="-9"/>
              </w:rPr>
              <w:t xml:space="preserve"> </w:t>
            </w:r>
            <w:r>
              <w:rPr>
                <w:spacing w:val="-5"/>
              </w:rPr>
              <w:t>Map</w:t>
            </w:r>
          </w:p>
        </w:tc>
        <w:tc>
          <w:tcPr>
            <w:tcW w:w="228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22" w:right="3"/>
              <w:rPr/>
            </w:pPr>
            <w:r>
              <w:rPr/>
              <w:t xml:space="preserve">Batch </w:t>
            </w:r>
            <w:r>
              <w:rPr>
                <w:spacing w:val="-2"/>
              </w:rPr>
              <w:t>Processing</w:t>
            </w:r>
          </w:p>
        </w:tc>
        <w:tc>
          <w:tcPr>
            <w:tcW w:w="3073"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27" w:right="2"/>
              <w:rPr/>
            </w:pPr>
            <w:r>
              <w:rPr>
                <w:spacing w:val="-4"/>
              </w:rPr>
              <w:t>High</w:t>
            </w:r>
          </w:p>
        </w:tc>
      </w:tr>
    </w:tbl>
    <w:p>
      <w:pPr>
        <w:pStyle w:val="Normal"/>
        <w:spacing w:lineRule="auto" w:line="360"/>
        <w:jc w:val="both"/>
        <w:rPr>
          <w:bCs/>
          <w:color w:val="0000FF"/>
          <w:shd w:fill="FFFFFF" w:val="clear"/>
        </w:rPr>
      </w:pPr>
      <w:r>
        <w:rPr/>
      </w:r>
    </w:p>
    <w:p>
      <w:pPr>
        <w:pStyle w:val="Normal"/>
        <w:spacing w:lineRule="auto" w:line="360"/>
        <w:jc w:val="both"/>
        <w:rPr>
          <w:bCs/>
          <w:color w:val="0000FF"/>
          <w:shd w:fill="FFFFFF" w:val="clear"/>
        </w:rPr>
      </w:pPr>
      <w:r>
        <w:rPr/>
      </w:r>
    </w:p>
    <w:tbl>
      <w:tblPr>
        <w:tblW w:w="4913"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1637"/>
        <w:gridCol w:w="1638"/>
        <w:gridCol w:w="1638"/>
      </w:tblGrid>
      <w:tr>
        <w:trPr>
          <w:trHeight w:val="542" w:hRule="atLeast"/>
        </w:trPr>
        <w:tc>
          <w:tcPr>
            <w:tcW w:w="1637" w:type="dxa"/>
            <w:tcBorders>
              <w:top w:val="single" w:sz="4" w:space="0" w:color="000000"/>
              <w:left w:val="single" w:sz="4" w:space="0" w:color="000000"/>
              <w:bottom w:val="single" w:sz="4" w:space="0" w:color="000000"/>
              <w:right w:val="single" w:sz="4" w:space="0" w:color="000000"/>
            </w:tcBorders>
          </w:tcPr>
          <w:p>
            <w:pPr>
              <w:pStyle w:val="TableParagraph"/>
              <w:spacing w:before="84" w:after="0"/>
              <w:rPr>
                <w:b/>
                <w:sz w:val="20"/>
              </w:rPr>
            </w:pPr>
            <w:r>
              <w:rPr>
                <w:b/>
                <w:spacing w:val="-2"/>
                <w:sz w:val="20"/>
              </w:rPr>
              <w:t>Parameter</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lineRule="atLeast" w:line="230" w:before="62" w:after="0"/>
              <w:ind w:hanging="224" w:left="532" w:right="289"/>
              <w:jc w:val="left"/>
              <w:rPr>
                <w:b/>
                <w:sz w:val="20"/>
              </w:rPr>
            </w:pPr>
            <w:r>
              <w:rPr>
                <w:b/>
                <w:spacing w:val="-6"/>
                <w:sz w:val="20"/>
              </w:rPr>
              <w:t>Cloud</w:t>
            </w:r>
            <w:r>
              <w:rPr>
                <w:b/>
                <w:spacing w:val="-14"/>
                <w:sz w:val="20"/>
              </w:rPr>
              <w:t xml:space="preserve"> </w:t>
            </w:r>
            <w:r>
              <w:rPr>
                <w:b/>
                <w:spacing w:val="-6"/>
                <w:sz w:val="20"/>
              </w:rPr>
              <w:t xml:space="preserve">Based </w:t>
            </w:r>
            <w:r>
              <w:rPr>
                <w:b/>
                <w:spacing w:val="-2"/>
                <w:sz w:val="20"/>
              </w:rPr>
              <w:t>System</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before="84" w:after="0"/>
              <w:ind w:left="30"/>
              <w:rPr>
                <w:b/>
                <w:sz w:val="20"/>
              </w:rPr>
            </w:pPr>
            <w:r>
              <w:rPr>
                <w:b/>
                <w:spacing w:val="-8"/>
                <w:sz w:val="20"/>
              </w:rPr>
              <w:t>Proposed</w:t>
            </w:r>
            <w:r>
              <w:rPr>
                <w:b/>
                <w:sz w:val="20"/>
              </w:rPr>
              <w:t xml:space="preserve"> </w:t>
            </w:r>
            <w:r>
              <w:rPr>
                <w:b/>
                <w:spacing w:val="-5"/>
                <w:sz w:val="20"/>
              </w:rPr>
              <w:t>SoC</w:t>
            </w:r>
          </w:p>
        </w:tc>
      </w:tr>
      <w:tr>
        <w:trPr>
          <w:trHeight w:val="541" w:hRule="atLeast"/>
        </w:trPr>
        <w:tc>
          <w:tcPr>
            <w:tcW w:w="163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30" w:before="62" w:after="0"/>
              <w:ind w:hanging="75" w:left="487" w:right="289"/>
              <w:jc w:val="left"/>
              <w:rPr>
                <w:sz w:val="20"/>
              </w:rPr>
            </w:pPr>
            <w:r>
              <w:rPr>
                <w:spacing w:val="-8"/>
                <w:sz w:val="20"/>
              </w:rPr>
              <w:t xml:space="preserve">Processing </w:t>
            </w:r>
            <w:r>
              <w:rPr>
                <w:spacing w:val="-2"/>
                <w:sz w:val="20"/>
              </w:rPr>
              <w:t>Location</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before="82" w:after="0"/>
              <w:ind w:left="26" w:right="3"/>
              <w:rPr>
                <w:sz w:val="20"/>
              </w:rPr>
            </w:pPr>
            <w:r>
              <w:rPr>
                <w:spacing w:val="-7"/>
                <w:sz w:val="20"/>
              </w:rPr>
              <w:t>Remote</w:t>
            </w:r>
            <w:r>
              <w:rPr>
                <w:spacing w:val="-6"/>
                <w:sz w:val="20"/>
              </w:rPr>
              <w:t xml:space="preserve"> </w:t>
            </w:r>
            <w:r>
              <w:rPr>
                <w:spacing w:val="-2"/>
                <w:sz w:val="20"/>
              </w:rPr>
              <w:t>Server</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before="82" w:after="0"/>
              <w:ind w:left="29"/>
              <w:rPr>
                <w:sz w:val="20"/>
              </w:rPr>
            </w:pPr>
            <w:r>
              <w:rPr>
                <w:spacing w:val="-8"/>
                <w:sz w:val="20"/>
              </w:rPr>
              <w:t>On-Chip</w:t>
            </w:r>
            <w:r>
              <w:rPr>
                <w:spacing w:val="4"/>
                <w:sz w:val="20"/>
              </w:rPr>
              <w:t xml:space="preserve"> </w:t>
            </w:r>
            <w:r>
              <w:rPr>
                <w:spacing w:val="-8"/>
                <w:sz w:val="20"/>
              </w:rPr>
              <w:t>System</w:t>
            </w:r>
          </w:p>
        </w:tc>
      </w:tr>
      <w:tr>
        <w:trPr>
          <w:trHeight w:val="542" w:hRule="atLeast"/>
        </w:trPr>
        <w:tc>
          <w:tcPr>
            <w:tcW w:w="1637" w:type="dxa"/>
            <w:tcBorders>
              <w:top w:val="single" w:sz="4" w:space="0" w:color="000000"/>
              <w:left w:val="single" w:sz="4" w:space="0" w:color="000000"/>
              <w:bottom w:val="single" w:sz="4" w:space="0" w:color="000000"/>
              <w:right w:val="single" w:sz="4" w:space="0" w:color="000000"/>
            </w:tcBorders>
          </w:tcPr>
          <w:p>
            <w:pPr>
              <w:pStyle w:val="TableParagraph"/>
              <w:spacing w:before="82" w:after="0"/>
              <w:rPr>
                <w:sz w:val="20"/>
              </w:rPr>
            </w:pPr>
            <w:r>
              <w:rPr>
                <w:spacing w:val="-2"/>
                <w:sz w:val="20"/>
              </w:rPr>
              <w:t>Latency</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before="82" w:after="0"/>
              <w:ind w:left="26" w:right="1"/>
              <w:rPr>
                <w:sz w:val="20"/>
              </w:rPr>
            </w:pPr>
            <w:r>
              <w:rPr>
                <w:spacing w:val="-4"/>
                <w:sz w:val="20"/>
              </w:rPr>
              <w:t>High</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lineRule="atLeast" w:line="230" w:before="62" w:after="0"/>
              <w:ind w:firstLine="62" w:left="427" w:right="245"/>
              <w:jc w:val="left"/>
              <w:rPr>
                <w:sz w:val="20"/>
              </w:rPr>
            </w:pPr>
            <w:r>
              <w:rPr>
                <w:sz w:val="20"/>
              </w:rPr>
              <w:t>Low</w:t>
            </w:r>
            <w:r>
              <w:rPr>
                <w:spacing w:val="-13"/>
                <w:sz w:val="20"/>
              </w:rPr>
              <w:t xml:space="preserve"> </w:t>
            </w:r>
            <w:r>
              <w:rPr>
                <w:sz w:val="20"/>
              </w:rPr>
              <w:t xml:space="preserve">and </w:t>
            </w:r>
            <w:r>
              <w:rPr>
                <w:spacing w:val="-8"/>
                <w:sz w:val="20"/>
              </w:rPr>
              <w:t>Consistent</w:t>
            </w:r>
          </w:p>
        </w:tc>
      </w:tr>
      <w:tr>
        <w:trPr>
          <w:trHeight w:val="541" w:hRule="atLeast"/>
        </w:trPr>
        <w:tc>
          <w:tcPr>
            <w:tcW w:w="1637" w:type="dxa"/>
            <w:tcBorders>
              <w:top w:val="single" w:sz="4" w:space="0" w:color="000000"/>
              <w:left w:val="single" w:sz="4" w:space="0" w:color="000000"/>
              <w:bottom w:val="single" w:sz="4" w:space="0" w:color="000000"/>
              <w:right w:val="single" w:sz="4" w:space="0" w:color="000000"/>
            </w:tcBorders>
          </w:tcPr>
          <w:p>
            <w:pPr>
              <w:pStyle w:val="TableParagraph"/>
              <w:spacing w:before="82" w:after="0"/>
              <w:ind w:left="26" w:right="5"/>
              <w:rPr>
                <w:sz w:val="20"/>
              </w:rPr>
            </w:pPr>
            <w:r>
              <w:rPr>
                <w:spacing w:val="-2"/>
                <w:sz w:val="20"/>
              </w:rPr>
              <w:t>Reliability</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lineRule="atLeast" w:line="230" w:before="62" w:after="0"/>
              <w:ind w:firstLine="76" w:left="412" w:right="289"/>
              <w:jc w:val="left"/>
              <w:rPr>
                <w:sz w:val="20"/>
              </w:rPr>
            </w:pPr>
            <w:r>
              <w:rPr>
                <w:spacing w:val="-2"/>
                <w:sz w:val="20"/>
              </w:rPr>
              <w:t xml:space="preserve">Network </w:t>
            </w:r>
            <w:r>
              <w:rPr>
                <w:spacing w:val="-8"/>
                <w:sz w:val="20"/>
              </w:rPr>
              <w:t>Dependent</w:t>
            </w:r>
          </w:p>
        </w:tc>
        <w:tc>
          <w:tcPr>
            <w:tcW w:w="1638" w:type="dxa"/>
            <w:tcBorders>
              <w:top w:val="single" w:sz="4" w:space="0" w:color="000000"/>
              <w:left w:val="single" w:sz="4" w:space="0" w:color="000000"/>
              <w:bottom w:val="single" w:sz="4" w:space="0" w:color="000000"/>
              <w:right w:val="single" w:sz="4" w:space="0" w:color="000000"/>
            </w:tcBorders>
          </w:tcPr>
          <w:p>
            <w:pPr>
              <w:pStyle w:val="TableParagraph"/>
              <w:spacing w:lineRule="atLeast" w:line="230" w:before="62" w:after="0"/>
              <w:ind w:hanging="82" w:left="338" w:right="245"/>
              <w:jc w:val="left"/>
              <w:rPr>
                <w:sz w:val="20"/>
              </w:rPr>
            </w:pPr>
            <w:r>
              <w:rPr>
                <w:spacing w:val="-6"/>
                <w:sz w:val="20"/>
              </w:rPr>
              <w:t>Independent</w:t>
            </w:r>
            <w:r>
              <w:rPr>
                <w:spacing w:val="-20"/>
                <w:sz w:val="20"/>
              </w:rPr>
              <w:t xml:space="preserve"> </w:t>
            </w:r>
            <w:r>
              <w:rPr>
                <w:spacing w:val="-6"/>
                <w:sz w:val="20"/>
              </w:rPr>
              <w:t xml:space="preserve">of </w:t>
            </w:r>
            <w:r>
              <w:rPr>
                <w:spacing w:val="-2"/>
                <w:sz w:val="20"/>
              </w:rPr>
              <w:t>Connectivity</w:t>
            </w:r>
          </w:p>
        </w:tc>
      </w:tr>
    </w:tbl>
    <w:p>
      <w:pPr>
        <w:pStyle w:val="Normal"/>
        <w:spacing w:lineRule="auto" w:line="360"/>
        <w:jc w:val="both"/>
        <w:rPr>
          <w:bCs/>
          <w:color w:val="0000FF"/>
          <w:shd w:fill="FFFFFF" w:val="clear"/>
        </w:rPr>
      </w:pPr>
      <w:r>
        <w:rPr/>
      </w:r>
    </w:p>
    <w:sectPr>
      <w:type w:val="nextPage"/>
      <w:pgSz w:w="11906" w:h="16838"/>
      <w:pgMar w:left="708" w:right="566" w:gutter="0" w:header="0" w:top="6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NimbusRomNo9L-Regu">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435"/>
    <w:pPr>
      <w:widowControl/>
      <w:bidi w:val="0"/>
      <w:spacing w:lineRule="auto" w:line="240" w:before="0" w:after="0"/>
      <w:jc w:val="left"/>
    </w:pPr>
    <w:rPr>
      <w:rFonts w:ascii="Times New Roman" w:hAnsi="Times New Roman" w:eastAsia="Times New Roman" w:cs="Times New Roman"/>
      <w:color w:val="auto"/>
      <w:kern w:val="0"/>
      <w:sz w:val="24"/>
      <w:szCs w:val="24"/>
      <w:lang w:val="en-US" w:bidi="ar-SA" w:eastAsia="en-US"/>
      <w14:ligatures w14:val="none"/>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1105c8"/>
    <w:rPr>
      <w:color w:themeColor="hyperlink" w:val="0563C1"/>
      <w:u w:val="single"/>
    </w:rPr>
  </w:style>
  <w:style w:type="character" w:styleId="UnresolvedMention1" w:customStyle="1">
    <w:name w:val="Unresolved Mention1"/>
    <w:basedOn w:val="DefaultParagraphFont"/>
    <w:uiPriority w:val="99"/>
    <w:semiHidden/>
    <w:unhideWhenUsed/>
    <w:qFormat/>
    <w:rsid w:val="001105c8"/>
    <w:rPr>
      <w:color w:val="605E5C"/>
      <w:shd w:fill="E1DFDD" w:val="clear"/>
    </w:rPr>
  </w:style>
  <w:style w:type="character" w:styleId="normaltextrun" w:customStyle="1">
    <w:name w:val="normaltextrun"/>
    <w:basedOn w:val="DefaultParagraphFont"/>
    <w:qFormat/>
    <w:rsid w:val="0025784d"/>
    <w:rPr/>
  </w:style>
  <w:style w:type="character" w:styleId="eop" w:customStyle="1">
    <w:name w:val="eop"/>
    <w:basedOn w:val="DefaultParagraphFont"/>
    <w:qFormat/>
    <w:rsid w:val="0025784d"/>
    <w:rPr/>
  </w:style>
  <w:style w:type="character" w:styleId="fontstyle01" w:customStyle="1">
    <w:name w:val="fontstyle01"/>
    <w:basedOn w:val="DefaultParagraphFont"/>
    <w:qFormat/>
    <w:rsid w:val="00a62190"/>
    <w:rPr>
      <w:rFonts w:ascii="NimbusRomNo9L-Regu" w:hAnsi="NimbusRomNo9L-Regu"/>
      <w:color w:val="000000"/>
      <w:sz w:val="20"/>
      <w:szCs w:val="20"/>
    </w:rPr>
  </w:style>
  <w:style w:type="character" w:styleId="Strong">
    <w:name w:val="Strong"/>
    <w:basedOn w:val="DefaultParagraphFont"/>
    <w:uiPriority w:val="22"/>
    <w:qFormat/>
    <w:rsid w:val="00c0222b"/>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5784d"/>
    <w:pPr>
      <w:spacing w:before="0" w:after="0"/>
      <w:ind w:left="720"/>
      <w:contextualSpacing/>
    </w:pPr>
    <w:rPr/>
  </w:style>
  <w:style w:type="paragraph" w:styleId="paragraph" w:customStyle="1">
    <w:name w:val="paragraph"/>
    <w:basedOn w:val="Normal"/>
    <w:qFormat/>
    <w:rsid w:val="0025784d"/>
    <w:pPr>
      <w:spacing w:beforeAutospacing="1" w:afterAutospacing="1"/>
    </w:pPr>
    <w:rPr/>
  </w:style>
  <w:style w:type="paragraph" w:styleId="NormalWeb">
    <w:name w:val="Normal (Web)"/>
    <w:basedOn w:val="Normal"/>
    <w:uiPriority w:val="99"/>
    <w:unhideWhenUsed/>
    <w:qFormat/>
    <w:rsid w:val="00c0222b"/>
    <w:pPr>
      <w:spacing w:beforeAutospacing="1" w:afterAutospacing="1"/>
    </w:pPr>
    <w:rPr/>
  </w:style>
  <w:style w:type="paragraph" w:styleId="TableParagraph">
    <w:name w:val="Table Paragraph"/>
    <w:basedOn w:val="Normal"/>
    <w:qFormat/>
    <w:pPr>
      <w:ind w:left="26"/>
      <w:jc w:val="cen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06d4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7E221-1367-4A16-8F34-88B73516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Pages>
  <Words>1111</Words>
  <Characters>6771</Characters>
  <CharactersWithSpaces>7855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2026-04-10T11:13:00Z</dcterms:created>
  <dc:creator>shivams20@gmail.com</dc:creator>
  <dc:description/>
  <dc:language>en-US</dc:language>
  <cp:lastModifiedBy/>
  <dcterms:modified xsi:type="dcterms:W3CDTF">2026-05-29T20:53:13Z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