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CC335" w14:textId="77777777" w:rsidR="00A1397B" w:rsidRPr="00A1397B" w:rsidRDefault="00A1397B" w:rsidP="00A1397B">
      <w:r w:rsidRPr="00A1397B">
        <w:t>Sure. I'm Balaji Chandran, an SAP Security, GRC, and Identity &amp; Access Management consultant with over 15 years of overall SAP/IT experience, including 10+ years focused specifically on SAP GRC Access Control and Security.</w:t>
      </w:r>
    </w:p>
    <w:p w14:paraId="2029AF95" w14:textId="77777777" w:rsidR="00A1397B" w:rsidRPr="00A1397B" w:rsidRDefault="00A1397B" w:rsidP="00A1397B">
      <w:r w:rsidRPr="00A1397B">
        <w:t xml:space="preserve">Currently, I'm working as an SAP Security &amp; GRC Architect with Ascent Staffing Solutions, engaged with Dover Corporation, a Fortune 500 client. In this role, I own the end-to-end access governance landscape — configuring and administering GRC Access Control modules like ARA, ARM, BRM, and EAM, leading User Access Reviews, and designing </w:t>
      </w:r>
      <w:proofErr w:type="spellStart"/>
      <w:r w:rsidRPr="00A1397B">
        <w:t>SoD</w:t>
      </w:r>
      <w:proofErr w:type="spellEnd"/>
      <w:r w:rsidRPr="00A1397B">
        <w:t xml:space="preserve"> governance and emergency access workflows that support SOX 404 compliance. I also led the security workstream for their ECC-to-S/4HANA implementation, covering access design, cutover, and </w:t>
      </w:r>
      <w:proofErr w:type="spellStart"/>
      <w:r w:rsidRPr="00A1397B">
        <w:t>hypercare</w:t>
      </w:r>
      <w:proofErr w:type="spellEnd"/>
      <w:r w:rsidRPr="00A1397B">
        <w:t xml:space="preserve"> governance.</w:t>
      </w:r>
    </w:p>
    <w:p w14:paraId="7A41AD1C" w14:textId="77777777" w:rsidR="00A1397B" w:rsidRPr="00A1397B" w:rsidRDefault="00A1397B" w:rsidP="00A1397B">
      <w:r w:rsidRPr="00A1397B">
        <w:t>My career has progressed in a fairly deliberate arc — I started out in SAP production support handling access and authorization tickets, moved into a dedicated Security Analyst role owning PFCG role design and SOX-aligned audits, then into GRC and S/4HANA Security work on full implementation lifecycles — including Fiori authorization architecture — and most recently into an Architect role where I lead enterprise-wide access governance programs and mentor consultants.</w:t>
      </w:r>
    </w:p>
    <w:p w14:paraId="449AFE09" w14:textId="77777777" w:rsidR="00A1397B" w:rsidRPr="00A1397B" w:rsidRDefault="00A1397B" w:rsidP="00A1397B">
      <w:r w:rsidRPr="00A1397B">
        <w:t xml:space="preserve">Along the way, I've built strong hands-on depth across PFCG role design, MSMP workflow and BRF+ rule configuration, </w:t>
      </w:r>
      <w:proofErr w:type="spellStart"/>
      <w:r w:rsidRPr="00A1397B">
        <w:t>SoD</w:t>
      </w:r>
      <w:proofErr w:type="spellEnd"/>
      <w:r w:rsidRPr="00A1397B">
        <w:t xml:space="preserve"> risk analysis and remediation, and IAM integration with Azure AD, LDAP, and SAML/SSO for Joiner-Mover-Leaver processes — while also being a regular point of contact for internal and external auditors.</w:t>
      </w:r>
    </w:p>
    <w:p w14:paraId="0B350EC0" w14:textId="77777777" w:rsidR="00A1397B" w:rsidRDefault="00A1397B"/>
    <w:sectPr w:rsidR="00A1397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97B"/>
    <w:rsid w:val="00726DDD"/>
    <w:rsid w:val="00A13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F431A2"/>
  <w15:chartTrackingRefBased/>
  <w15:docId w15:val="{73BACF5E-7478-40EE-96E7-F39CFD33A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9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9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9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9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9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9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9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9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9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9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9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Chandran</dc:creator>
  <cp:keywords/>
  <dc:description/>
  <cp:lastModifiedBy>Balaji Chandran</cp:lastModifiedBy>
  <cp:revision>1</cp:revision>
  <dcterms:created xsi:type="dcterms:W3CDTF">2026-07-28T06:19:00Z</dcterms:created>
  <dcterms:modified xsi:type="dcterms:W3CDTF">2026-07-28T06:20:00Z</dcterms:modified>
</cp:coreProperties>
</file>