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 gusta andar, pero no sigo el camino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Porque lo seguro ya no tiene misterio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 gusta ir con el verano, muy lejos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Pero volver donde mi madre en invierno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ver los perros que jamás me olvidaron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  los abrazos que me dan mis hermanos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 gusta el sol y la mujer cuando llora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Las golondrinas y las malas señoras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Saltar paredes y abrir los balcones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 las muchachas en abril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 gusta el vino tanto como las flores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 los amantes, pero no los señores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 encanta ser amigo de los ladrones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 las canciones en francés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 soy de aquí , ni soy de allá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 tengo edad, ni porvenir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 ser feliz es mi color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 identidad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 soy de aquí , ni soy de allá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 tengo edad, ni porvenir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 ser feliz es mi color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 identidad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 gusta estar tirado siempre en la arena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 en bicicleta perseguir a Manuela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 todo el tiempo para ver las estrellas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 la María en el trigal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 soy de aquí , ni soy de allá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 tengo edad, ni porvenir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 ser feliz es mi color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 identidad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 soy de aquí , ni soy de allá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 tengo edad, ni porvenir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 ser feliz es mi color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 identidad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