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</w:t>
        <w:br/>
        <w:t xml:space="preserve">1. The political participation of young people in </w:t>
        <w:br/>
        <w:t>times of crisis: a framework for analysis</w:t>
        <w:br/>
        <w:t>Daniela Chironi, Donatella della Porta and Chiara Milan</w:t>
        <w:br/>
        <w:t xml:space="preserve">In academic and public debates, times of economic, social, and political crisis have been </w:t>
        <w:br/>
        <w:t xml:space="preserve">associated with a decline in political participation and civic engagement (della Porta, 2013; </w:t>
        <w:br/>
        <w:t xml:space="preserve">2014; Kerbo, 1982). In addition to the long-term effects of the financial and economic crisis </w:t>
        <w:br/>
        <w:t xml:space="preserve">started in 2008, since 2020 the Covid-19 pandemic has impacted not only the economy but </w:t>
        <w:br/>
        <w:t xml:space="preserve">also all aspects of everyday life. At the same time, climate change and global warming have </w:t>
        <w:br/>
        <w:t xml:space="preserve">created unprecedented environmental threats. In a similar context, scholarly expectations </w:t>
        <w:br/>
        <w:t xml:space="preserve">would predict political participation to diminish sharply and an entire generation to disengage </w:t>
        <w:br/>
        <w:t xml:space="preserve">from politics. In a liquid society (Bauman, 1997), the erosion of collective identities and </w:t>
        <w:br/>
        <w:t xml:space="preserve">the challenges to solidarity processes, coupled with the perception of a closure of political </w:t>
        <w:br/>
        <w:t xml:space="preserve">opportunities and a decline in informal networks and resources available (money, power, and </w:t>
        <w:br/>
        <w:t xml:space="preserve">status), typical consequences of crises, are in fact usually interpreted as factors that jeopardise </w:t>
        <w:br/>
        <w:t xml:space="preserve">political participation. As all these conditions have severely affected young people, analyses </w:t>
        <w:br/>
        <w:t xml:space="preserve">have spread to point at a disenchanted, frustrated, apathetic young cohort (see Cammaerts et </w:t>
        <w:br/>
        <w:t>al., 2014; Earl et al., 2017).</w:t>
        <w:br/>
        <w:t xml:space="preserve">Challenging these expectations, research on contemporary social movements has noted that </w:t>
        <w:br/>
        <w:t>young people are not apathetic, disengaged, anti-political, or detached from political participa-</w:t>
        <w:br/>
        <w:t xml:space="preserve">tion (Amnå and Ekman, 2013; della Porta, 2019a; della Porta et al., 2022a). Although they are </w:t>
        <w:br/>
        <w:t>suffering high levels of unemployment, precarisation, cuts in social services, changes in con-</w:t>
        <w:br/>
        <w:t xml:space="preserve">sumption patterns, and a grim outlook for their future, as results of the intertwining between </w:t>
        <w:br/>
        <w:t>different types of crises; those material grievances are coupled with idealistic aspirations, fuel-</w:t>
        <w:br/>
        <w:t xml:space="preserve">ling mobilisation (della Porta et al., 2022a, Ch. 2 and 3; 2022b). From the Arab Spring to the </w:t>
        <w:br/>
        <w:t xml:space="preserve">Indignados movement, from the anti-austerity protests to the recent mobilisations for climate </w:t>
        <w:br/>
        <w:t>justice, gender equality, and labour rights, a new generation has engaged in contentious poli-</w:t>
        <w:br/>
        <w:t xml:space="preserve">tics, advocating for a more just and inclusive society. Especially in those countries that have </w:t>
        <w:br/>
        <w:t xml:space="preserve">been hit hardest by the financial crisis, a substantial number of young citizens have reacted to </w:t>
        <w:br/>
        <w:t xml:space="preserve">adverse conditions with increased political and social mobilisation, choosing predominantly </w:t>
        <w:br/>
        <w:t xml:space="preserve">intermittent, non-institutionalised, horizontal forms of political participation, performed across </w:t>
        <w:br/>
        <w:t xml:space="preserve">hybrid public spaces, from the Web to the town squares as well as self-managed spaces (della </w:t>
        <w:br/>
        <w:t xml:space="preserve">Porta, 2014; Milan, 2019). In addition, especially some types of social movements and protest </w:t>
        <w:br/>
        <w:t xml:space="preserve">campaigns – such as the Global Justice Movement beginning in the 2000s, the anti-austerity </w:t>
        <w:br/>
        <w:t xml:space="preserve">protests, which followed the 2008 financial crisis, and recent anti-racist, environmentalist, and </w:t>
        <w:br/>
        <w:t xml:space="preserve">gender-based mobilisations – are over-proportionally populated by young people (Andretta </w:t>
        <w:br/>
        <w:t xml:space="preserve">and Sommier, 2009; Andretta and della Porta, 2015; della Porta, 2013; della Porta, 2019a; </w:t>
        <w:br/>
        <w:t>della Porta et al., 2022a, Ch. 3).</w:t>
        <w:br/>
        <w:t xml:space="preserve">Furthermore, since the early 2020s, movements like Fridays For Future and Extinction </w:t>
        <w:br/>
        <w:t xml:space="preserve">Rebellion have mobilised a large number of young activists in protest against climate change </w:t>
        <w:br/>
        <w:t xml:space="preserve">(de Moor et al., 2020; Zamponi et al., 2022). Similarly, young cohorts have been found to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