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32"/>
          <w:szCs w:val="32"/>
          <w:lang w:val="en-US" w:eastAsia="zh-CN" w:bidi="ar"/>
        </w:rPr>
      </w:pPr>
      <w:bookmarkStart w:id="0" w:name="_GoBack"/>
      <w:bookmarkEnd w:id="0"/>
    </w:p>
    <w:p>
      <w:pPr>
        <w:keepNext w:val="0"/>
        <w:keepLines w:val="0"/>
        <w:widowControl/>
        <w:suppressLineNumbers w:val="0"/>
        <w:spacing w:line="240" w:lineRule="auto"/>
        <w:jc w:val="center"/>
        <w:rPr>
          <w:rFonts w:hint="default" w:ascii="Bahnschrift SemiLight" w:hAnsi="Bahnschrift SemiLight" w:eastAsia="SimSun" w:cs="Bahnschrift SemiLight"/>
          <w:b w:val="0"/>
          <w:bCs w:val="0"/>
          <w:kern w:val="0"/>
          <w:sz w:val="40"/>
          <w:szCs w:val="40"/>
          <w:lang w:val="es-MX" w:eastAsia="zh-CN" w:bidi="ar"/>
        </w:rPr>
      </w:pPr>
      <w:r>
        <w:rPr>
          <w:rFonts w:hint="default" w:ascii="Bahnschrift SemiLight" w:hAnsi="Bahnschrift SemiLight" w:cs="Bahnschrift SemiLight"/>
          <w:b w:val="0"/>
          <w:bCs w:val="0"/>
          <w:kern w:val="0"/>
          <w:sz w:val="40"/>
          <w:szCs w:val="40"/>
          <w:lang w:val="es-MX" w:eastAsia="zh-CN" w:bidi="ar"/>
        </w:rPr>
        <w:t xml:space="preserve">La </w:t>
      </w:r>
      <w:r>
        <w:rPr>
          <w:rFonts w:hint="default" w:ascii="Bahnschrift SemiLight" w:hAnsi="Bahnschrift SemiLight" w:eastAsia="SimSun" w:cs="Bahnschrift SemiLight"/>
          <w:b w:val="0"/>
          <w:bCs w:val="0"/>
          <w:kern w:val="0"/>
          <w:sz w:val="40"/>
          <w:szCs w:val="40"/>
          <w:lang w:val="es-MX" w:eastAsia="zh-CN" w:bidi="ar"/>
        </w:rPr>
        <w:t xml:space="preserve"> producción de bebidas </w:t>
      </w:r>
      <w:r>
        <w:rPr>
          <w:rFonts w:hint="default" w:ascii="Bahnschrift SemiLight" w:hAnsi="Bahnschrift SemiLight" w:cs="Bahnschrift SemiLight"/>
          <w:b w:val="0"/>
          <w:bCs w:val="0"/>
          <w:kern w:val="0"/>
          <w:sz w:val="40"/>
          <w:szCs w:val="40"/>
          <w:lang w:val="es-MX" w:eastAsia="zh-CN" w:bidi="ar"/>
        </w:rPr>
        <w:t xml:space="preserve">tradicionales </w:t>
      </w:r>
      <w:r>
        <w:rPr>
          <w:rFonts w:hint="default" w:ascii="Bahnschrift SemiLight" w:hAnsi="Bahnschrift SemiLight" w:eastAsia="SimSun" w:cs="Bahnschrift SemiLight"/>
          <w:b w:val="0"/>
          <w:bCs w:val="0"/>
          <w:kern w:val="0"/>
          <w:sz w:val="40"/>
          <w:szCs w:val="40"/>
          <w:lang w:val="es-MX" w:eastAsia="zh-CN" w:bidi="ar"/>
        </w:rPr>
        <w:t>durante el siglo XVIII</w:t>
      </w:r>
      <w:r>
        <w:rPr>
          <w:rFonts w:hint="default" w:ascii="Bahnschrift SemiLight" w:hAnsi="Bahnschrift SemiLight" w:cs="Bahnschrift SemiLight"/>
          <w:b w:val="0"/>
          <w:bCs w:val="0"/>
          <w:kern w:val="0"/>
          <w:sz w:val="40"/>
          <w:szCs w:val="40"/>
          <w:lang w:val="es-MX" w:eastAsia="zh-CN" w:bidi="ar"/>
        </w:rPr>
        <w:t xml:space="preserve"> </w:t>
      </w:r>
      <w:r>
        <w:rPr>
          <w:rFonts w:hint="default" w:ascii="Bahnschrift SemiLight" w:hAnsi="Bahnschrift SemiLight" w:eastAsia="SimSun" w:cs="Bahnschrift SemiLight"/>
          <w:b w:val="0"/>
          <w:bCs w:val="0"/>
          <w:kern w:val="0"/>
          <w:sz w:val="40"/>
          <w:szCs w:val="40"/>
          <w:lang w:val="es-MX" w:eastAsia="zh-CN" w:bidi="ar"/>
        </w:rPr>
        <w:t>en Michoacán</w:t>
      </w:r>
    </w:p>
    <w:p>
      <w:pPr>
        <w:pStyle w:val="8"/>
        <w:jc w:val="right"/>
        <w:rPr>
          <w:sz w:val="20"/>
        </w:rPr>
      </w:pPr>
    </w:p>
    <w:p>
      <w:pPr>
        <w:pStyle w:val="8"/>
        <w:jc w:val="right"/>
        <w:rPr>
          <w:sz w:val="20"/>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217170</wp:posOffset>
            </wp:positionH>
            <wp:positionV relativeFrom="paragraph">
              <wp:posOffset>35560</wp:posOffset>
            </wp:positionV>
            <wp:extent cx="3091815" cy="3030855"/>
            <wp:effectExtent l="0" t="0" r="13335" b="17145"/>
            <wp:wrapTopAndBottom/>
            <wp:docPr id="10" name="Imagen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G_256"/>
                    <pic:cNvPicPr>
                      <a:picLocks noChangeAspect="1"/>
                    </pic:cNvPicPr>
                  </pic:nvPicPr>
                  <pic:blipFill>
                    <a:blip r:embed="rId7"/>
                    <a:srcRect l="7454" t="15429" r="9217" b="21344"/>
                    <a:stretch>
                      <a:fillRect/>
                    </a:stretch>
                  </pic:blipFill>
                  <pic:spPr>
                    <a:xfrm>
                      <a:off x="0" y="0"/>
                      <a:ext cx="3091815" cy="3030855"/>
                    </a:xfrm>
                    <a:prstGeom prst="rect">
                      <a:avLst/>
                    </a:prstGeom>
                    <a:noFill/>
                    <a:ln w="9525">
                      <a:noFill/>
                    </a:ln>
                  </pic:spPr>
                </pic:pic>
              </a:graphicData>
            </a:graphic>
          </wp:anchor>
        </w:drawing>
      </w:r>
    </w:p>
    <w:p>
      <w:pPr>
        <w:pStyle w:val="8"/>
        <w:jc w:val="right"/>
        <w:rPr>
          <w:sz w:val="20"/>
        </w:rPr>
      </w:pPr>
    </w:p>
    <w:p>
      <w:pPr>
        <w:pStyle w:val="8"/>
        <w:jc w:val="center"/>
        <w:rPr>
          <w:rFonts w:hint="default" w:ascii="Bahnschrift SemiBold" w:hAnsi="Bahnschrift SemiBold" w:cs="Bahnschrift SemiBold"/>
          <w:sz w:val="28"/>
          <w:szCs w:val="28"/>
        </w:rPr>
      </w:pPr>
      <w:r>
        <w:rPr>
          <w:rFonts w:hint="default" w:ascii="Bahnschrift SemiBold" w:hAnsi="Bahnschrift SemiBold" w:cs="Bahnschrift SemiBold"/>
          <w:sz w:val="28"/>
          <w:szCs w:val="28"/>
        </w:rPr>
        <w:t>Jorge Amós Martínez Ayala</w:t>
      </w:r>
    </w:p>
    <w:p>
      <w:pPr>
        <w:pStyle w:val="8"/>
        <w:jc w:val="center"/>
        <w:rPr>
          <w:rFonts w:hint="default" w:ascii="Arial" w:hAnsi="Arial" w:cs="Arial"/>
          <w:b w:val="0"/>
          <w:bCs w:val="0"/>
          <w:sz w:val="28"/>
          <w:szCs w:val="28"/>
        </w:rPr>
      </w:pPr>
    </w:p>
    <w:p>
      <w:pPr>
        <w:pStyle w:val="8"/>
        <w:jc w:val="center"/>
        <w:rPr>
          <w:rFonts w:hint="default" w:ascii="Arial" w:hAnsi="Arial" w:cs="Arial"/>
          <w:b w:val="0"/>
          <w:bCs w:val="0"/>
          <w:sz w:val="20"/>
          <w:szCs w:val="20"/>
        </w:rPr>
      </w:pPr>
      <w:r>
        <w:rPr>
          <w:rFonts w:hint="default" w:ascii="Arial" w:hAnsi="Arial" w:cs="Arial"/>
          <w:b w:val="0"/>
          <w:bCs w:val="0"/>
          <w:sz w:val="20"/>
          <w:szCs w:val="20"/>
        </w:rPr>
        <w:t>Facultad de Historia</w:t>
      </w:r>
    </w:p>
    <w:p>
      <w:pPr>
        <w:pStyle w:val="8"/>
        <w:jc w:val="center"/>
        <w:rPr>
          <w:rFonts w:hint="default" w:ascii="Arial" w:hAnsi="Arial" w:cs="Arial"/>
          <w:b w:val="0"/>
          <w:bCs w:val="0"/>
          <w:sz w:val="20"/>
          <w:szCs w:val="20"/>
        </w:rPr>
      </w:pPr>
      <w:r>
        <w:rPr>
          <w:rFonts w:hint="default" w:ascii="Arial" w:hAnsi="Arial" w:cs="Arial"/>
          <w:b w:val="0"/>
          <w:bCs w:val="0"/>
          <w:sz w:val="20"/>
          <w:szCs w:val="20"/>
        </w:rPr>
        <w:t>UMSNH</w:t>
      </w:r>
    </w:p>
    <w:p>
      <w:pPr>
        <w:pStyle w:val="8"/>
        <w:jc w:val="center"/>
        <w:rPr>
          <w:rFonts w:hint="default" w:ascii="Arial" w:hAnsi="Arial" w:cs="Arial"/>
          <w:b w:val="0"/>
          <w:bCs w:val="0"/>
          <w:sz w:val="20"/>
          <w:szCs w:val="20"/>
        </w:rPr>
      </w:pPr>
    </w:p>
    <w:p>
      <w:pPr>
        <w:pStyle w:val="8"/>
        <w:jc w:val="center"/>
        <w:rPr>
          <w:sz w:val="20"/>
          <w:szCs w:val="20"/>
          <w:lang w:val="es-MX"/>
        </w:rPr>
      </w:pPr>
      <w:r>
        <w:rPr>
          <w:rFonts w:ascii="SimSun" w:hAnsi="SimSun" w:eastAsia="SimSun" w:cs="SimSun"/>
          <w:sz w:val="24"/>
          <w:szCs w:val="24"/>
        </w:rPr>
        <w:drawing>
          <wp:inline distT="0" distB="0" distL="114300" distR="114300">
            <wp:extent cx="463550" cy="496570"/>
            <wp:effectExtent l="0" t="0" r="12700" b="17780"/>
            <wp:docPr id="14" name="Imagen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1" descr="IMG_256"/>
                    <pic:cNvPicPr>
                      <a:picLocks noChangeAspect="1"/>
                    </pic:cNvPicPr>
                  </pic:nvPicPr>
                  <pic:blipFill>
                    <a:blip r:embed="rId8"/>
                    <a:stretch>
                      <a:fillRect/>
                    </a:stretch>
                  </pic:blipFill>
                  <pic:spPr>
                    <a:xfrm>
                      <a:off x="0" y="0"/>
                      <a:ext cx="463550" cy="496570"/>
                    </a:xfrm>
                    <a:prstGeom prst="rect">
                      <a:avLst/>
                    </a:prstGeom>
                    <a:noFill/>
                    <a:ln w="9525">
                      <a:noFill/>
                    </a:ln>
                  </pic:spPr>
                </pic:pic>
              </a:graphicData>
            </a:graphic>
          </wp:inline>
        </w:drawing>
      </w:r>
    </w:p>
    <w:p>
      <w:pPr>
        <w:pStyle w:val="8"/>
        <w:rPr>
          <w:sz w:val="20"/>
          <w:szCs w:val="20"/>
          <w:lang w:val="es-MX"/>
        </w:rPr>
      </w:pPr>
    </w:p>
    <w:p>
      <w:pPr>
        <w:pStyle w:val="8"/>
        <w:rPr>
          <w:sz w:val="20"/>
          <w:szCs w:val="20"/>
          <w:lang w:val="es-MX"/>
        </w:rPr>
      </w:pPr>
      <w:r>
        <w:rPr>
          <w:sz w:val="20"/>
          <w:szCs w:val="20"/>
          <w:lang w:val="es-MX"/>
        </w:rPr>
        <w:t>Como el vino no me falte,</w:t>
      </w:r>
    </w:p>
    <w:p>
      <w:pPr>
        <w:pStyle w:val="8"/>
        <w:rPr>
          <w:sz w:val="20"/>
          <w:szCs w:val="20"/>
          <w:lang w:val="es-MX"/>
        </w:rPr>
      </w:pPr>
      <w:r>
        <w:rPr>
          <w:sz w:val="20"/>
          <w:szCs w:val="20"/>
          <w:lang w:val="es-MX"/>
        </w:rPr>
        <w:t>que es el que me da valor,</w:t>
      </w:r>
    </w:p>
    <w:p>
      <w:pPr>
        <w:pStyle w:val="8"/>
        <w:rPr>
          <w:sz w:val="20"/>
          <w:szCs w:val="20"/>
          <w:lang w:val="es-MX"/>
        </w:rPr>
      </w:pPr>
      <w:r>
        <w:rPr>
          <w:sz w:val="20"/>
          <w:szCs w:val="20"/>
          <w:lang w:val="es-MX"/>
        </w:rPr>
        <w:t>cantaré toda la noche</w:t>
      </w:r>
    </w:p>
    <w:p>
      <w:pPr>
        <w:pStyle w:val="8"/>
        <w:rPr>
          <w:sz w:val="20"/>
          <w:szCs w:val="20"/>
          <w:lang w:val="es-MX"/>
        </w:rPr>
      </w:pPr>
      <w:r>
        <w:rPr>
          <w:sz w:val="20"/>
          <w:szCs w:val="20"/>
          <w:lang w:val="es-MX"/>
        </w:rPr>
        <w:t>y hasta que me raye el sol...</w:t>
      </w:r>
    </w:p>
    <w:p>
      <w:pPr>
        <w:pStyle w:val="8"/>
        <w:rPr>
          <w:sz w:val="20"/>
          <w:szCs w:val="20"/>
          <w:lang w:val="es-MX"/>
        </w:rPr>
      </w:pPr>
      <w:r>
        <w:rPr>
          <w:sz w:val="20"/>
          <w:szCs w:val="20"/>
          <w:lang w:val="es-MX"/>
        </w:rPr>
        <w:t>(Copla de la Antigua Parroquia de Sinahua)</w:t>
      </w:r>
    </w:p>
    <w:p>
      <w:pPr>
        <w:pStyle w:val="13"/>
        <w:spacing w:after="0"/>
        <w:jc w:val="both"/>
      </w:pPr>
    </w:p>
    <w:p>
      <w:pPr>
        <w:pStyle w:val="13"/>
        <w:spacing w:after="0"/>
        <w:jc w:val="both"/>
        <w:rPr>
          <w:rFonts w:hint="default"/>
          <w:lang w:val="es-MX"/>
        </w:rPr>
      </w:pPr>
      <w:r>
        <w:t>E</w:t>
      </w:r>
      <w:r>
        <w:rPr>
          <w:lang w:val="es-MX"/>
        </w:rPr>
        <w:t xml:space="preserve">l obispado de Michoacán en el siglo XVII incluía extensas porciones del actual territorio de México: desde Colima hasta la zona media de San Luis Potosí y desde la Costa Grande de Guerrero hasta Tampico; en ése vasto territorio coexistieron grupos indígenas sedentarios y agricultores, nómadas y recolectores, personas esclavizadas en el sur del Sahel Africano, algunos en gran cantidad para que en algunas haciendas del Bajío se hablara kimbundu, la </w:t>
      </w:r>
      <w:r>
        <w:rPr>
          <w:rFonts w:hint="default"/>
          <w:lang w:val="es-MX"/>
        </w:rPr>
        <w:t>“lengua de Angola”, “indios chinos” o filipinos que vivían entre la población nativa de estas tierras como “iguales”, y europeos de regiones diversas.</w:t>
      </w:r>
      <w:r>
        <w:rPr>
          <w:rStyle w:val="5"/>
          <w:rFonts w:hint="default"/>
          <w:lang w:val="es-MX"/>
        </w:rPr>
        <w:footnoteReference w:id="0"/>
      </w:r>
      <w:r>
        <w:t xml:space="preserve"> </w:t>
      </w:r>
      <w:r>
        <w:rPr>
          <w:lang w:val="es-MX"/>
        </w:rPr>
        <w:t xml:space="preserve">Era el momento en que se comenzaron a gestar las diversas culturas regionales, producto de un conocimiento indígena del entorno, y la adecuación al mismo de los individuos procedentes de muchas partes del orbe. Así como las artes performativas (música, danza y teatro), o la religión, las cocinas locales amalgamaron elementos y productos recién aclimatados como arroz, plátano, mango y coco de Asia; cilantro, sandía, melón, tamarindo, aceite de palma, café, o las lentejas de África. A estas adaptaciones alimentarias no faltaron las bebidas fermentadas o destiladas con contenido alcohólico; el </w:t>
      </w:r>
      <w:r>
        <w:rPr>
          <w:rFonts w:hint="default"/>
          <w:lang w:val="es-MX"/>
        </w:rPr>
        <w:t>“vino de cocos” o “tuba”, originaria de Filipinas, llevada por los marineros y cocineros que se quedaron a lo largo de la costa del Pacífico novohispano, se volvió la bebida típica de Colima;</w:t>
      </w:r>
      <w:r>
        <w:rPr>
          <w:rStyle w:val="5"/>
          <w:rFonts w:hint="default"/>
          <w:lang w:val="es-MX"/>
        </w:rPr>
        <w:footnoteReference w:id="1"/>
      </w:r>
      <w:r>
        <w:rPr>
          <w:rFonts w:hint="default"/>
          <w:lang w:val="es-MX"/>
        </w:rPr>
        <w:t xml:space="preserve"> otro caso similar es la sambumbia, una bebida fermentada de origen africano presente en Venezuela y Cuba, que en México se encuentra en zonas mineras, producida por los descendientes mestizos de esos africanos y los grupos indígenas mazahuas de los alrededores: de El Oro, estado de México, y Tlalpujahua, Michoacán, hacia la zona minera de Tierra Caliente.</w:t>
      </w:r>
      <w:r>
        <w:rPr>
          <w:rStyle w:val="5"/>
          <w:rFonts w:hint="default"/>
          <w:lang w:val="es-MX"/>
        </w:rPr>
        <w:footnoteReference w:id="2"/>
      </w:r>
      <w:r>
        <w:rPr>
          <w:rFonts w:hint="default"/>
          <w:lang w:val="es-MX"/>
        </w:rPr>
        <w:t xml:space="preserve"> Aunque tienen la apariencia de ser prácticas culturales “trasplantadas”, se trata de procesos de apropiación e intercambio que constituyen elementos significativos nuevos para los sistemas culturales que los incorporan; de tal manera que un cabildo jñatjo (o mazahua) no podrá realizar los rituales para constituirse como representaciones del poder si la bebida no está presente.</w:t>
      </w:r>
    </w:p>
    <w:p>
      <w:pPr>
        <w:pStyle w:val="13"/>
        <w:spacing w:after="0"/>
        <w:ind w:firstLine="700" w:firstLineChars="0"/>
        <w:jc w:val="both"/>
        <w:rPr>
          <w:rFonts w:hint="default"/>
          <w:spacing w:val="-6"/>
          <w:lang w:val="es-MX"/>
        </w:rPr>
      </w:pPr>
      <w:r>
        <w:rPr>
          <w:rFonts w:hint="default"/>
          <w:spacing w:val="-6"/>
          <w:lang w:val="es-MX"/>
        </w:rPr>
        <w:t xml:space="preserve"> Las prácticas culturales en torno a la elaboración de bebidas alcohólicas, sean rituales o de uso “recreativo”, han recibido desde hace dos siglos estigmatizaciones morales y sanciones legales: desde las pecuniarias hasta las corporales. A pesar de ello se han mantenido y preservado en ciertos espacios sociales y geográficos marginales, como bebidas del otro, desde la óptica del poder, del Estado y de la Iglesia católica, son lo que bebe el indio, el mestizo, el afrodescendiente, el pobre; para los productores y consumidores, en cambio, se trata de un elemento de orden ritual imprescindible para las fiestas, ya profanas o religiosas, por ello cobra un sentido de identidad tal que, aunque en estricto sentido la bebida no sea una práctica cultural propia, se imagina y se le mitifica colocándola en un periodo más allá del tiempo histórico, donde fue producida por dioses, santos, o personajes de leyenda. Este carácter identitario fue una de las condiciones para su estereotipación y persecución, pero su génesis no fue espontánea, sino producto de una coexistencia social entre personas con un origen cultural diverso, lo que permitió adecuar los procesos de elaboración al paladar de los consumidores locales, estos lo usaron para provocar la desinhibición en las fiestas y alentar la sociabilidad en las negociaciones, pero también como elemento ritual en prácticas médicas, el las peticiones religiosas a figuras de la religión popular (como los chaneques) y a los propios dioses. La persecución a la bebida lo era en parte para mantener una competencia comercial desleal con las bebidas del poder: vinos y aguardientes de importación, porque su costo era menor y podían elaborarse en cuestión de horas con elementos locales, por ello eran perseguidos por las autoridades de la corona; pero también eran perseguidos porque se usaban en la vida ritual prohibida por la Iglesia. Los productores eran doblemente transgresores, porque desafiaban dos poderes, uno económico y otro ideológico, pero además, como veremos adelante, hubo una cierta especialización por género, de tal manera que las bebidas destiladas que necesitaban de un esfuerzo físico mayor, eran producidas por hombres, y las bebidas fermentadas eran producidas por mujeres.</w:t>
      </w:r>
    </w:p>
    <w:p>
      <w:pPr>
        <w:pStyle w:val="13"/>
        <w:spacing w:after="0"/>
        <w:ind w:firstLine="700" w:firstLineChars="0"/>
        <w:jc w:val="both"/>
        <w:rPr>
          <w:spacing w:val="-6"/>
        </w:rPr>
      </w:pPr>
      <w:r>
        <w:rPr>
          <w:spacing w:val="-6"/>
          <w:lang w:val="es-MX"/>
        </w:rPr>
        <w:t xml:space="preserve">En el </w:t>
      </w:r>
      <w:r>
        <w:rPr>
          <w:spacing w:val="-6"/>
        </w:rPr>
        <w:t xml:space="preserve">presente texto intentaremos </w:t>
      </w:r>
      <w:r>
        <w:rPr>
          <w:spacing w:val="-6"/>
          <w:lang w:val="es-MX"/>
        </w:rPr>
        <w:t>mostra</w:t>
      </w:r>
      <w:r>
        <w:rPr>
          <w:spacing w:val="-6"/>
        </w:rPr>
        <w:t xml:space="preserve">r un panorama de las relaciones sociales </w:t>
      </w:r>
      <w:r>
        <w:rPr>
          <w:spacing w:val="-6"/>
          <w:lang w:val="es-MX"/>
        </w:rPr>
        <w:t xml:space="preserve">establecidas en torno a la producción y consumo de bebidas alcohólicas </w:t>
      </w:r>
      <w:r>
        <w:rPr>
          <w:spacing w:val="-6"/>
        </w:rPr>
        <w:t>entre afrodescendientes e indígenas en algunas comunidades del Michoacán colonial,</w:t>
      </w:r>
      <w:r>
        <w:rPr>
          <w:spacing w:val="-6"/>
          <w:lang w:val="es-MX"/>
        </w:rPr>
        <w:t xml:space="preserve"> mostraremos </w:t>
      </w:r>
      <w:r>
        <w:rPr>
          <w:spacing w:val="-6"/>
        </w:rPr>
        <w:t>que la transgresión a la legislación</w:t>
      </w:r>
      <w:r>
        <w:rPr>
          <w:spacing w:val="-6"/>
          <w:lang w:val="es-MX"/>
        </w:rPr>
        <w:t xml:space="preserve"> </w:t>
      </w:r>
      <w:r>
        <w:rPr>
          <w:spacing w:val="-6"/>
        </w:rPr>
        <w:t>era muy común,</w:t>
      </w:r>
      <w:r>
        <w:rPr>
          <w:spacing w:val="-6"/>
          <w:lang w:val="es-MX"/>
        </w:rPr>
        <w:t xml:space="preserve"> no sólo en cuanto a la producción de alcoholes, también</w:t>
      </w:r>
      <w:r>
        <w:rPr>
          <w:spacing w:val="-6"/>
        </w:rPr>
        <w:t xml:space="preserve"> sobre residencia de los afrodescendientes; que los criterios de inclusión y exclusión de la comunidad, o los de clasificación étnica, era complejos y mutables; que las relaciones sociales entre los grupos desiguales no podían ser calificadas a priori, como “buenas” o “malas”, sino que obedecían a las relaciones establecidas entre individuos en contextos sociales también cambiantes; por último, que la elaboración, distribución y consumo de vinos contrahechos fueron prácticas que fomentaron la sociabilidad entre los grupos no hegemónicos del Michoacán colonial</w:t>
      </w:r>
      <w:r>
        <w:rPr>
          <w:spacing w:val="-6"/>
          <w:lang w:val="es-MX"/>
        </w:rPr>
        <w:t>, y que, con el paso del tiempo, estas bebidas ocuparon un papel en la conformación de las identidades regionales y locales</w:t>
      </w:r>
      <w:r>
        <w:rPr>
          <w:spacing w:val="-6"/>
        </w:rPr>
        <w:t>.</w:t>
      </w:r>
    </w:p>
    <w:p>
      <w:pPr>
        <w:pStyle w:val="13"/>
        <w:spacing w:after="0"/>
        <w:jc w:val="both"/>
      </w:pPr>
      <w:r>
        <w:tab/>
      </w:r>
      <w:r>
        <w:rPr>
          <w:spacing w:val="-6"/>
        </w:rPr>
        <w:t>En un asunto tan difícil de abordar sin caer en los juicios anacrónicos, sobre comportamiento y moral. Pretendemos usar a la cultura popular, como la entiende la historia cultural, como una llave hermenéutica para entender algunos de los motivos que tuvieron los afrodescendientes para transgredir los códigos y las normas sociales, todos conocidos a través de la oralidad, pues si bien los bandos y ordenanzas fueron impresos, siempre fueron dados a conocer a las clases subalternas mediante la voz de los pregoneros, muchos de ellos también afrodescendientes.</w:t>
      </w:r>
      <w:r>
        <w:rPr>
          <w:rStyle w:val="5"/>
          <w:spacing w:val="-6"/>
        </w:rPr>
        <w:footnoteReference w:id="3"/>
      </w:r>
      <w:r>
        <w:rPr>
          <w:spacing w:val="-6"/>
          <w:lang w:val="es-MX"/>
        </w:rPr>
        <w:t xml:space="preserve"> </w:t>
      </w:r>
      <w:r>
        <w:rPr>
          <w:spacing w:val="-6"/>
        </w:rPr>
        <w:t>En éste texto entenderemos “transgresión” como un desacato consciente a la autoridad, ya sea a una ley escrita o a un comportamiento sancionado como “aceptable” socialmente; sin embargo, como lo mostró Ginzburg, la conciencia del acto no es en sí, necesariamente, un posicionamiento ideológico o político. El proceso es complejo y necesita de una serie de tecnologías del yo, en términos de Foucault, que se utilizan para el control social: primero, el Estado vuelve, mediante la ley, objeto al individuo; luego el poder hegemónico, que “naturaliza” lo social, interioriza los discursos dominantes en el cuerpo de los individuos para generar en ellos una escisión; tales prácticas escindentes permiten caracterizarlo como transgresor: borracho, mulato, insolente, con el fin de que él mismo se rechace, se avergüence de ser mulato, borracho e insolente.</w:t>
      </w:r>
      <w:r>
        <w:rPr>
          <w:rStyle w:val="5"/>
          <w:spacing w:val="-6"/>
        </w:rPr>
        <w:t xml:space="preserve"> </w:t>
      </w:r>
      <w:r>
        <w:rPr>
          <w:rStyle w:val="5"/>
          <w:spacing w:val="-6"/>
        </w:rPr>
        <w:footnoteReference w:id="4"/>
      </w:r>
      <w:r>
        <w:rPr>
          <w:spacing w:val="-6"/>
        </w:rPr>
        <w:t xml:space="preserve"> El control social planificado por el Estado, que llega incluso al ámbito del yo, se ve entonces rechazado y subvertido con prácticas culturales cotidianas, que transgreden códigos y normas mediante acciones voluntarias, como beber pulque con piña</w:t>
      </w:r>
      <w:r>
        <w:rPr>
          <w:spacing w:val="-6"/>
          <w:lang w:val="es-MX"/>
        </w:rPr>
        <w:t>...</w:t>
      </w:r>
      <w:r>
        <w:rPr>
          <w:spacing w:val="-6"/>
        </w:rPr>
        <w:t xml:space="preserve"> </w:t>
      </w:r>
    </w:p>
    <w:p>
      <w:pPr>
        <w:pStyle w:val="13"/>
        <w:spacing w:after="0"/>
        <w:jc w:val="both"/>
      </w:pPr>
    </w:p>
    <w:p>
      <w:pPr>
        <w:pStyle w:val="13"/>
        <w:spacing w:after="0"/>
        <w:jc w:val="both"/>
        <w:rPr>
          <w:smallCaps/>
        </w:rPr>
      </w:pPr>
      <w:r>
        <w:rPr>
          <w:smallCaps/>
        </w:rPr>
        <w:t>…Que en esta ciudad llaman charape</w:t>
      </w:r>
    </w:p>
    <w:p>
      <w:pPr>
        <w:pStyle w:val="13"/>
        <w:spacing w:after="0"/>
        <w:jc w:val="both"/>
      </w:pPr>
    </w:p>
    <w:p>
      <w:pPr>
        <w:pStyle w:val="13"/>
        <w:spacing w:after="0"/>
        <w:jc w:val="both"/>
      </w:pPr>
      <w:r>
        <w:t xml:space="preserve">Uno de los delitos más comunes que trataba la administración de justicia colonial era el escándalo en la vía pública por embriaguez; el cual se convirtió en un problema de salud pública </w:t>
      </w:r>
      <w:r>
        <w:rPr>
          <w:lang w:val="es-MX"/>
        </w:rPr>
        <w:t>a partir d</w:t>
      </w:r>
      <w:r>
        <w:t>el siglo XVI. Tal vez el incremento en las borracheras cotidianas se debió a la desarticulación del orden mesoamericano, donde el consumo de bebidas alcohólicas se reservaba a los nobles y a los viejos; aunque el borracho era visto con recelo en la época mesoamericana, ofrendar pulque a dioses y santos continuó como una práctica religiosa en los primeros años de la Nueva España.</w:t>
      </w:r>
      <w:r>
        <w:rPr>
          <w:rStyle w:val="5"/>
        </w:rPr>
        <w:footnoteReference w:id="5"/>
      </w:r>
      <w:r>
        <w:t xml:space="preserve"> Es así que, Carlos V, aprueba la primera ordenanza sobre pulque:</w:t>
      </w:r>
    </w:p>
    <w:p>
      <w:pPr>
        <w:pStyle w:val="13"/>
        <w:spacing w:after="0"/>
        <w:jc w:val="both"/>
      </w:pPr>
    </w:p>
    <w:p>
      <w:pPr>
        <w:pStyle w:val="13"/>
        <w:spacing w:after="0"/>
        <w:ind w:left="480" w:leftChars="0" w:right="583" w:rightChars="0" w:firstLine="0" w:firstLineChars="0"/>
        <w:jc w:val="both"/>
        <w:rPr>
          <w:sz w:val="20"/>
          <w:szCs w:val="20"/>
        </w:rPr>
      </w:pPr>
      <w:r>
        <w:rPr>
          <w:sz w:val="20"/>
          <w:szCs w:val="20"/>
        </w:rPr>
        <w:t>… los indios naturales de esa Nueva España hacen un cierto vino que se llama pulque, en el cual dizque en el tiempo que hacen sus fiestas… echan una raíz que ellos siembra… para le fortificar y tomar más sabor de ello, con el cual se emborrachan. Y así emborrachados hacen sus ceremonias y sacrificios que solían hacer antiguamente, y como están furiosos ponen las manos los unos en los otros y se matan. Y además de esto se sigue de la dicha embriaguez muchos vicios carnales y nefandos, de lo cual de Dios Nuestro Señor es muy deservido, y para el remedio de ello convendría que no se sembrara la tal raíz.</w:t>
      </w:r>
      <w:r>
        <w:rPr>
          <w:rStyle w:val="5"/>
          <w:sz w:val="20"/>
          <w:szCs w:val="20"/>
        </w:rPr>
        <w:footnoteReference w:id="6"/>
      </w:r>
    </w:p>
    <w:p>
      <w:pPr>
        <w:pStyle w:val="13"/>
        <w:spacing w:after="0"/>
        <w:jc w:val="both"/>
      </w:pPr>
    </w:p>
    <w:p>
      <w:pPr>
        <w:pStyle w:val="13"/>
        <w:spacing w:after="0"/>
        <w:jc w:val="both"/>
        <w:rPr>
          <w:spacing w:val="-11"/>
        </w:rPr>
      </w:pPr>
      <w:r>
        <w:rPr>
          <w:spacing w:val="-11"/>
        </w:rPr>
        <w:t>Al pulque blanco se prohíbe “curarlo”, adicionarle raíces para “fortalecerlo, es decir, incrementar su nivel alcohólico.</w:t>
      </w:r>
    </w:p>
    <w:p>
      <w:pPr>
        <w:pStyle w:val="13"/>
        <w:spacing w:after="0"/>
        <w:ind w:firstLine="709"/>
        <w:jc w:val="both"/>
        <w:rPr>
          <w:spacing w:val="-11"/>
        </w:rPr>
      </w:pPr>
      <w:r>
        <w:rPr>
          <w:spacing w:val="-11"/>
        </w:rPr>
        <w:t>Aunque había ordenanza real para que toda persona que pusiera tienda gruesa, de mercaderías o de menudencias, en el ámbito urbano o rural, sacara una licencia ante la real justicia, y que sólo alguno de ellos, previo pago a la Corona, pudieran vender vinos, la población del antiguo Michoacán era reacia a acatar las limitantes; incluso a pesar del elevado costo de los castigos.</w:t>
      </w:r>
      <w:r>
        <w:rPr>
          <w:rStyle w:val="5"/>
          <w:spacing w:val="-11"/>
        </w:rPr>
        <w:footnoteReference w:id="7"/>
      </w:r>
    </w:p>
    <w:p>
      <w:pPr>
        <w:pStyle w:val="13"/>
        <w:spacing w:after="0"/>
        <w:jc w:val="both"/>
      </w:pPr>
    </w:p>
    <w:p>
      <w:pPr>
        <w:tabs>
          <w:tab w:val="left" w:pos="-720"/>
          <w:tab w:val="left" w:pos="3840"/>
        </w:tabs>
        <w:ind w:left="489" w:leftChars="200" w:right="583" w:rightChars="0" w:hanging="9" w:hangingChars="5"/>
        <w:jc w:val="both"/>
        <w:rPr>
          <w:spacing w:val="-3"/>
          <w:sz w:val="20"/>
          <w:szCs w:val="20"/>
        </w:rPr>
      </w:pPr>
      <w:r>
        <w:rPr>
          <w:spacing w:val="-2"/>
          <w:sz w:val="20"/>
          <w:szCs w:val="20"/>
        </w:rPr>
        <w:t xml:space="preserve">…en conformidad de las censuras, eclesiásticos mandamientos y autos de los señores virreyes, que ninguna persona haga, venda, ni beba, </w:t>
      </w:r>
      <w:r>
        <w:rPr>
          <w:b/>
          <w:spacing w:val="-2"/>
          <w:sz w:val="20"/>
          <w:szCs w:val="20"/>
        </w:rPr>
        <w:t>pulque amarillo que en esta ciudad llaman Charape</w:t>
      </w:r>
      <w:r>
        <w:rPr>
          <w:spacing w:val="-2"/>
          <w:sz w:val="20"/>
          <w:szCs w:val="20"/>
        </w:rPr>
        <w:t>. Pena, por la primera vez, de doce pesos y veinte días de cárcel y por la segunda, doblada la pena.</w:t>
      </w:r>
      <w:r>
        <w:rPr>
          <w:rStyle w:val="5"/>
          <w:spacing w:val="-2"/>
          <w:sz w:val="20"/>
          <w:szCs w:val="20"/>
        </w:rPr>
        <w:footnoteReference w:id="8"/>
      </w:r>
    </w:p>
    <w:p>
      <w:pPr>
        <w:tabs>
          <w:tab w:val="left" w:pos="-720"/>
        </w:tabs>
        <w:jc w:val="both"/>
        <w:rPr>
          <w:spacing w:val="-3"/>
        </w:rPr>
      </w:pPr>
    </w:p>
    <w:p>
      <w:pPr>
        <w:tabs>
          <w:tab w:val="left" w:pos="-720"/>
        </w:tabs>
        <w:jc w:val="both"/>
        <w:rPr>
          <w:spacing w:val="-3"/>
        </w:rPr>
      </w:pPr>
      <w:r>
        <w:rPr>
          <w:spacing w:val="-3"/>
        </w:rPr>
        <w:t xml:space="preserve">No obstante, sí se vendía el “blanco”, o </w:t>
      </w:r>
      <w:r>
        <w:rPr>
          <w:i/>
          <w:spacing w:val="-3"/>
        </w:rPr>
        <w:t>urapi</w:t>
      </w:r>
      <w:r>
        <w:rPr>
          <w:spacing w:val="-3"/>
        </w:rPr>
        <w:t xml:space="preserve"> en lengua de Michoacán,</w:t>
      </w:r>
      <w:r>
        <w:rPr>
          <w:rStyle w:val="5"/>
          <w:spacing w:val="-3"/>
        </w:rPr>
        <w:footnoteReference w:id="9"/>
      </w:r>
      <w:r>
        <w:rPr>
          <w:spacing w:val="-3"/>
        </w:rPr>
        <w:t xml:space="preserve"> en la ciudad de Valladolid; el único facultado era el asentista del pulque, don Domingo de Rivas, quien tenía cinco pulquerías en las cuatro principales de la ciudad y barrios de ella, y otra en plaza pública, en calles fuera de las principales y de comercio.</w:t>
      </w:r>
      <w:r>
        <w:rPr>
          <w:rStyle w:val="5"/>
          <w:spacing w:val="-3"/>
        </w:rPr>
        <w:footnoteReference w:id="10"/>
      </w:r>
    </w:p>
    <w:p>
      <w:pPr>
        <w:pStyle w:val="13"/>
        <w:spacing w:after="0"/>
        <w:ind w:firstLine="709"/>
        <w:jc w:val="both"/>
        <w:rPr>
          <w:spacing w:val="-3"/>
        </w:rPr>
      </w:pPr>
      <w:r>
        <w:rPr>
          <w:spacing w:val="-3"/>
        </w:rPr>
        <w:t xml:space="preserve">En 1622, </w:t>
      </w:r>
      <w:r>
        <w:t>Alonso de la Cerda Miranda, Alguacil Mayor, se quejaba de los mercaderes de la ciudad, quienes “venden sin importancia sin moderación grande, vino, a los indios y mulatos y negros”.</w:t>
      </w:r>
      <w:r>
        <w:rPr>
          <w:rStyle w:val="5"/>
          <w:spacing w:val="-3"/>
        </w:rPr>
        <w:footnoteReference w:id="11"/>
      </w:r>
      <w:r>
        <w:t xml:space="preserve"> El </w:t>
      </w:r>
      <w:r>
        <w:rPr>
          <w:spacing w:val="-3"/>
        </w:rPr>
        <w:t>vino “de cocos” era traído de Colima por arrieros, junto con sal, cacao y otros bienes de la costa; en la ciudad era expendido por taberneros que daban más de lo justo para crear dependencia en sus consumidores habituales.</w:t>
      </w:r>
      <w:r>
        <w:rPr>
          <w:rStyle w:val="5"/>
          <w:spacing w:val="-3"/>
        </w:rPr>
        <w:footnoteReference w:id="12"/>
      </w:r>
    </w:p>
    <w:p>
      <w:pPr>
        <w:pStyle w:val="13"/>
        <w:spacing w:after="0"/>
        <w:ind w:firstLine="709"/>
        <w:jc w:val="both"/>
        <w:rPr>
          <w:spacing w:val="-3"/>
        </w:rPr>
      </w:pPr>
    </w:p>
    <w:p>
      <w:pPr>
        <w:pStyle w:val="13"/>
        <w:spacing w:after="0"/>
        <w:jc w:val="center"/>
        <w:rPr>
          <w:spacing w:val="-3"/>
        </w:rPr>
      </w:pPr>
      <w:r>
        <w:rPr>
          <w:rFonts w:ascii="SimSun" w:hAnsi="SimSun" w:eastAsia="SimSun" w:cs="SimSun"/>
          <w:sz w:val="24"/>
          <w:szCs w:val="24"/>
        </w:rPr>
        <w:drawing>
          <wp:inline distT="0" distB="0" distL="114300" distR="114300">
            <wp:extent cx="2787650" cy="2787650"/>
            <wp:effectExtent l="0" t="0" r="12700" b="12700"/>
            <wp:docPr id="2"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G_256"/>
                    <pic:cNvPicPr>
                      <a:picLocks noChangeAspect="1"/>
                    </pic:cNvPicPr>
                  </pic:nvPicPr>
                  <pic:blipFill>
                    <a:blip r:embed="rId9">
                      <a:grayscl/>
                    </a:blip>
                    <a:stretch>
                      <a:fillRect/>
                    </a:stretch>
                  </pic:blipFill>
                  <pic:spPr>
                    <a:xfrm>
                      <a:off x="0" y="0"/>
                      <a:ext cx="2787650" cy="2787650"/>
                    </a:xfrm>
                    <a:prstGeom prst="rect">
                      <a:avLst/>
                    </a:prstGeom>
                    <a:noFill/>
                    <a:ln w="9525">
                      <a:noFill/>
                    </a:ln>
                  </pic:spPr>
                </pic:pic>
              </a:graphicData>
            </a:graphic>
          </wp:inline>
        </w:drawing>
      </w:r>
    </w:p>
    <w:p>
      <w:pPr>
        <w:pStyle w:val="13"/>
        <w:spacing w:after="0"/>
        <w:jc w:val="both"/>
        <w:rPr>
          <w:spacing w:val="-3"/>
        </w:rPr>
      </w:pPr>
      <w:r>
        <w:rPr>
          <w:spacing w:val="-3"/>
        </w:rPr>
        <w:tab/>
      </w:r>
    </w:p>
    <w:p>
      <w:pPr>
        <w:pStyle w:val="13"/>
        <w:spacing w:after="0"/>
        <w:ind w:firstLine="700" w:firstLineChars="0"/>
        <w:jc w:val="both"/>
        <w:rPr>
          <w:rStyle w:val="5"/>
          <w:spacing w:val="-3"/>
        </w:rPr>
      </w:pPr>
      <w:r>
        <w:rPr>
          <w:spacing w:val="-3"/>
        </w:rPr>
        <w:t>La autoridades reales se preocupaban por los “desórdenes” que provocaban las continuas “y grandes borracheras de los indios”; pero también por el daño que el contrabando hacía a las alcabalas y sisas de la ciudad, sobre todo porque para ocultar la venta del vino de cocos, éste se vendía en las tabernas donde se expendía el “vino de Castilla” (aunque fuera de Málaga o Jerez). Esa fue la razón por la cual se mandó que sólo se vendiera vino “en la Casa de Alonso Lujan de Medina, mercader de ropa, y no en otra”.</w:t>
      </w:r>
      <w:r>
        <w:rPr>
          <w:rStyle w:val="5"/>
          <w:spacing w:val="-3"/>
        </w:rPr>
        <w:footnoteReference w:id="13"/>
      </w:r>
    </w:p>
    <w:p>
      <w:pPr>
        <w:pStyle w:val="13"/>
        <w:spacing w:after="0"/>
        <w:ind w:firstLine="709"/>
        <w:jc w:val="both"/>
        <w:rPr>
          <w:spacing w:val="-3"/>
        </w:rPr>
      </w:pPr>
      <w:r>
        <w:rPr>
          <w:spacing w:val="-3"/>
        </w:rPr>
        <w:t xml:space="preserve">Aunque se intentó controlar el consumo de bebidas alcohólicas en la ciudad de Valladolid, en el pasado no era extraño ver en las calles a personas embriagadas. Cierta tarde, como a las seis y media, el alcalde mayor, Francisco Velázquez Dávila, pasaba por la tienda de Pedro Lorenzo Montero, en el Barrio del Carmen, natural del reino de Galicia, de 40 años, vecino y mercader de la ciudad, cuando le pareció </w:t>
      </w:r>
    </w:p>
    <w:p>
      <w:pPr>
        <w:tabs>
          <w:tab w:val="left" w:pos="-720"/>
        </w:tabs>
        <w:jc w:val="both"/>
        <w:rPr>
          <w:spacing w:val="-2"/>
        </w:rPr>
      </w:pPr>
    </w:p>
    <w:p>
      <w:pPr>
        <w:tabs>
          <w:tab w:val="left" w:pos="-720"/>
        </w:tabs>
        <w:ind w:left="476" w:leftChars="192" w:right="583" w:rightChars="0" w:hanging="15" w:hangingChars="8"/>
        <w:jc w:val="both"/>
        <w:rPr>
          <w:spacing w:val="-2"/>
          <w:sz w:val="20"/>
          <w:szCs w:val="20"/>
        </w:rPr>
      </w:pPr>
      <w:r>
        <w:rPr>
          <w:spacing w:val="-2"/>
          <w:sz w:val="20"/>
          <w:szCs w:val="20"/>
        </w:rPr>
        <w:t>…ver en ella a dos indios borrachos que, habitualmente, estaban en vasijas, bebiendo vino de cocos.</w:t>
      </w:r>
      <w:r>
        <w:rPr>
          <w:rStyle w:val="5"/>
          <w:spacing w:val="-2"/>
          <w:sz w:val="20"/>
          <w:szCs w:val="20"/>
        </w:rPr>
        <w:footnoteReference w:id="14"/>
      </w:r>
    </w:p>
    <w:p>
      <w:pPr>
        <w:tabs>
          <w:tab w:val="left" w:pos="-720"/>
        </w:tabs>
        <w:jc w:val="both"/>
        <w:rPr>
          <w:spacing w:val="-2"/>
        </w:rPr>
      </w:pPr>
    </w:p>
    <w:p>
      <w:pPr>
        <w:tabs>
          <w:tab w:val="left" w:pos="-720"/>
        </w:tabs>
        <w:jc w:val="both"/>
        <w:rPr>
          <w:spacing w:val="-2"/>
        </w:rPr>
      </w:pPr>
      <w:r>
        <w:rPr>
          <w:spacing w:val="-2"/>
        </w:rPr>
        <w:t>De inmediato la autoridad mandó aprehender a los dos indígenas e hizo comparecer al gallego, quien:</w:t>
      </w:r>
    </w:p>
    <w:p>
      <w:pPr>
        <w:tabs>
          <w:tab w:val="left" w:pos="-720"/>
        </w:tabs>
        <w:jc w:val="both"/>
        <w:rPr>
          <w:spacing w:val="-2"/>
        </w:rPr>
      </w:pPr>
    </w:p>
    <w:p>
      <w:pPr>
        <w:tabs>
          <w:tab w:val="left" w:pos="-720"/>
        </w:tabs>
        <w:ind w:left="480" w:leftChars="0" w:right="583" w:rightChars="0" w:firstLine="0" w:firstLineChars="0"/>
        <w:jc w:val="both"/>
        <w:rPr>
          <w:spacing w:val="-2"/>
          <w:sz w:val="20"/>
          <w:szCs w:val="20"/>
        </w:rPr>
      </w:pPr>
      <w:r>
        <w:rPr>
          <w:spacing w:val="-2"/>
          <w:sz w:val="20"/>
          <w:szCs w:val="20"/>
        </w:rPr>
        <w:t>…dijo que es verdad que ayer a las horas que la pregunta refiere [6:30 p. m.] entraron en la dicha su tienda dos indios, y cada uno le pidió medio real de vino de cocos, y por ser poca cosa, y con que no se podían embriagar, se los dio este confesante y lo bebieron dentro de la dicha tienda.</w:t>
      </w:r>
      <w:r>
        <w:rPr>
          <w:rStyle w:val="5"/>
          <w:spacing w:val="-2"/>
          <w:sz w:val="20"/>
          <w:szCs w:val="20"/>
        </w:rPr>
        <w:footnoteReference w:id="15"/>
      </w:r>
    </w:p>
    <w:p>
      <w:pPr>
        <w:tabs>
          <w:tab w:val="left" w:pos="-720"/>
        </w:tabs>
        <w:jc w:val="both"/>
        <w:rPr>
          <w:spacing w:val="-2"/>
        </w:rPr>
      </w:pPr>
    </w:p>
    <w:p>
      <w:pPr>
        <w:tabs>
          <w:tab w:val="left" w:pos="-720"/>
        </w:tabs>
        <w:jc w:val="both"/>
        <w:rPr>
          <w:spacing w:val="-2"/>
        </w:rPr>
      </w:pPr>
      <w:r>
        <w:rPr>
          <w:spacing w:val="-2"/>
        </w:rPr>
        <w:t>La justicia le pregunta que ¿si no sabe que está prohibido por ordenanza que se venda vino de cocos “en poca ni mucha cantidad a indios, negros ni mulatos?” En respuesta alega que no ha tenido noticia ni conoce tal ordenanza y mandato. Aun así, se le impone una multa de 8 pesos de oro común, 2 para la Cámara del Rey y 6 para los gastos de la Sala de Cabildo y Audiencia de la ciudad.</w:t>
      </w:r>
    </w:p>
    <w:p>
      <w:pPr>
        <w:tabs>
          <w:tab w:val="left" w:pos="-720"/>
        </w:tabs>
        <w:jc w:val="both"/>
        <w:rPr>
          <w:spacing w:val="-2"/>
        </w:rPr>
      </w:pPr>
      <w:r>
        <w:rPr>
          <w:spacing w:val="-2"/>
        </w:rPr>
        <w:tab/>
      </w:r>
      <w:r>
        <w:rPr>
          <w:spacing w:val="-2"/>
        </w:rPr>
        <w:t>El Alcalde mayor organizará, un año después, realiza una serie de visitas, cada cuatro meses, a los 28 comercios que expenden bebidas embriagantes en la ciudad de Valladolid; el motivo es saber si los comerciantes “venden vino a indios, negros y mulatos contra ordenanza”. La mayoría de los comerciantes alegan:</w:t>
      </w:r>
    </w:p>
    <w:p>
      <w:pPr>
        <w:tabs>
          <w:tab w:val="left" w:pos="-720"/>
        </w:tabs>
        <w:jc w:val="both"/>
        <w:rPr>
          <w:spacing w:val="-2"/>
        </w:rPr>
      </w:pPr>
    </w:p>
    <w:p>
      <w:pPr>
        <w:tabs>
          <w:tab w:val="left" w:pos="-720"/>
        </w:tabs>
        <w:ind w:left="476" w:leftChars="192" w:right="583" w:rightChars="0" w:hanging="15" w:hangingChars="8"/>
        <w:jc w:val="both"/>
        <w:rPr>
          <w:spacing w:val="-2"/>
          <w:sz w:val="20"/>
          <w:szCs w:val="20"/>
        </w:rPr>
      </w:pPr>
      <w:r>
        <w:rPr>
          <w:spacing w:val="-3"/>
          <w:sz w:val="20"/>
          <w:szCs w:val="20"/>
        </w:rPr>
        <w:t>...que no lo venden sino a los esclavos que lo vienen a comprar para sus amos o negros e indios que traen vasijas para llevarlo.</w:t>
      </w:r>
      <w:r>
        <w:rPr>
          <w:rStyle w:val="5"/>
          <w:spacing w:val="-3"/>
          <w:sz w:val="20"/>
          <w:szCs w:val="20"/>
        </w:rPr>
        <w:footnoteReference w:id="16"/>
      </w:r>
    </w:p>
    <w:p>
      <w:pPr>
        <w:tabs>
          <w:tab w:val="left" w:pos="-720"/>
        </w:tabs>
        <w:jc w:val="both"/>
        <w:rPr>
          <w:spacing w:val="-2"/>
        </w:rPr>
      </w:pPr>
    </w:p>
    <w:p>
      <w:pPr>
        <w:tabs>
          <w:tab w:val="left" w:pos="-720"/>
        </w:tabs>
        <w:jc w:val="both"/>
        <w:rPr>
          <w:spacing w:val="-6"/>
        </w:rPr>
      </w:pPr>
      <w:r>
        <w:rPr>
          <w:spacing w:val="-6"/>
        </w:rPr>
        <w:t>No obstante el número de comerciantes sancionados revela que la prohibición no se acataba y que, probablemente, era más redituable infringirla y pagar las multas que dejar de vender alcohol.</w:t>
      </w:r>
    </w:p>
    <w:p>
      <w:pPr>
        <w:tabs>
          <w:tab w:val="left" w:pos="-720"/>
        </w:tabs>
        <w:jc w:val="both"/>
        <w:rPr>
          <w:spacing w:val="-6"/>
        </w:rPr>
      </w:pPr>
      <w:r>
        <w:rPr>
          <w:spacing w:val="-6"/>
        </w:rPr>
        <w:tab/>
      </w:r>
      <w:r>
        <w:rPr>
          <w:spacing w:val="-6"/>
        </w:rPr>
        <w:t>En el primer siglo de vida de la Nueva España, Colima surtió de vino de cocos a la Provincia de Michoacán; sin embargo, muy pronto se sustituyó la bebida por muchas otras de carácter regional y local.</w:t>
      </w:r>
    </w:p>
    <w:p>
      <w:pPr>
        <w:tabs>
          <w:tab w:val="left" w:pos="-720"/>
        </w:tabs>
        <w:jc w:val="both"/>
        <w:rPr>
          <w:spacing w:val="-2"/>
        </w:rPr>
      </w:pPr>
    </w:p>
    <w:p>
      <w:pPr>
        <w:pStyle w:val="13"/>
        <w:spacing w:after="0"/>
        <w:ind w:left="476" w:leftChars="192" w:right="583" w:rightChars="0" w:hanging="15" w:hangingChars="8"/>
        <w:jc w:val="both"/>
        <w:rPr>
          <w:spacing w:val="-3"/>
        </w:rPr>
      </w:pPr>
      <w:r>
        <w:rPr>
          <w:spacing w:val="-3"/>
          <w:sz w:val="20"/>
          <w:szCs w:val="20"/>
        </w:rPr>
        <w:t xml:space="preserve">…para esto tienen a Colima, que con sus palmas, el aguardiente y vino de cocos que destila tiene para destruida esta Provincia, y es la finque que conserva, y  sustenta su villa y moradores capas, cofradías y culto divino, conque honesta, y pretextan sacar licencia para hacer, destilar esta bebida y trajinarla, bien entendido que no les hará falta a los indios Colima ni sus  palmas porque ellos tienen su maguey, la caña del maíz, los panales, la tuna, el mezquite, las moras, las mieles de los trapiches e ingenios de azúcar y otros muchos frutos y simples de que se componen bebidas …. </w:t>
      </w:r>
      <w:r>
        <w:rPr>
          <w:rStyle w:val="5"/>
          <w:spacing w:val="-3"/>
        </w:rPr>
        <w:footnoteReference w:id="17"/>
      </w:r>
    </w:p>
    <w:p>
      <w:pPr>
        <w:pStyle w:val="13"/>
        <w:spacing w:after="0"/>
        <w:ind w:right="900"/>
        <w:jc w:val="both"/>
        <w:rPr>
          <w:spacing w:val="-3"/>
        </w:rPr>
      </w:pPr>
    </w:p>
    <w:p>
      <w:pPr>
        <w:pStyle w:val="13"/>
        <w:tabs>
          <w:tab w:val="left" w:pos="9923"/>
        </w:tabs>
        <w:spacing w:after="0"/>
        <w:ind w:right="49"/>
        <w:jc w:val="both"/>
        <w:rPr>
          <w:spacing w:val="-11"/>
        </w:rPr>
      </w:pPr>
      <w:r>
        <w:rPr>
          <w:spacing w:val="-11"/>
        </w:rPr>
        <w:t>No tenía mayor complicación su fabricación, por ello, en cualquier lugar de Michoacán se podían producir bebidas alcohólicas, ya sea a partir de la fermentación, de la destilación, o de combinaciones de ambas.</w:t>
      </w:r>
    </w:p>
    <w:p>
      <w:pPr>
        <w:pStyle w:val="13"/>
        <w:spacing w:after="0"/>
        <w:ind w:right="900"/>
        <w:jc w:val="both"/>
        <w:rPr>
          <w:spacing w:val="-3"/>
        </w:rPr>
      </w:pPr>
      <w:r>
        <w:rPr>
          <w:spacing w:val="-3"/>
        </w:rPr>
        <w:t xml:space="preserve">  </w:t>
      </w:r>
    </w:p>
    <w:p>
      <w:pPr>
        <w:pStyle w:val="13"/>
        <w:spacing w:after="0"/>
        <w:ind w:left="476" w:leftChars="192" w:right="583" w:rightChars="0" w:hanging="15" w:hangingChars="8"/>
        <w:jc w:val="both"/>
        <w:rPr>
          <w:spacing w:val="-3"/>
          <w:sz w:val="20"/>
          <w:szCs w:val="20"/>
        </w:rPr>
      </w:pPr>
      <w:r>
        <w:rPr>
          <w:spacing w:val="-3"/>
          <w:sz w:val="20"/>
          <w:szCs w:val="20"/>
        </w:rPr>
        <w:t>En sus casas lo hacen, en los patios de ellas, y en sus calles públicas tienen canoas, y mazos, con que sin recelo ninguno, y con todo descoco y libertad, mazan las cañas, recogen el sumo y lo ponen a hervir y asedar, revuélvenle miel, y otros ingredientes tan mordaces que se dispone una bebida fortísima.</w:t>
      </w:r>
      <w:r>
        <w:rPr>
          <w:rStyle w:val="5"/>
          <w:spacing w:val="-3"/>
          <w:sz w:val="20"/>
          <w:szCs w:val="20"/>
        </w:rPr>
        <w:footnoteReference w:id="18"/>
      </w:r>
    </w:p>
    <w:p>
      <w:pPr>
        <w:pStyle w:val="13"/>
        <w:spacing w:after="0"/>
        <w:ind w:left="1418" w:right="900"/>
        <w:jc w:val="both"/>
        <w:rPr>
          <w:spacing w:val="-3"/>
        </w:rPr>
      </w:pPr>
    </w:p>
    <w:p>
      <w:pPr>
        <w:pStyle w:val="13"/>
        <w:spacing w:after="0"/>
        <w:ind w:firstLine="709"/>
        <w:jc w:val="both"/>
        <w:rPr>
          <w:spacing w:val="-3"/>
        </w:rPr>
      </w:pPr>
      <w:r>
        <w:t xml:space="preserve">Las bebidas prohibidas fueron numerosas: </w:t>
      </w:r>
      <w:r>
        <w:rPr>
          <w:spacing w:val="-3"/>
        </w:rPr>
        <w:t xml:space="preserve">aguardientes de caña, de maguey, de miel, cantineata, ololinque, mistelas contrahechas, vinos de coco, sangre de conejo, binguies, tepache, </w:t>
      </w:r>
      <w:r>
        <w:rPr>
          <w:b/>
          <w:spacing w:val="-3"/>
        </w:rPr>
        <w:t>charape</w:t>
      </w:r>
      <w:r>
        <w:rPr>
          <w:spacing w:val="-3"/>
        </w:rPr>
        <w:t xml:space="preserve">, mezcales, guarapo, bingarrote, </w:t>
      </w:r>
      <w:r>
        <w:rPr>
          <w:b/>
          <w:spacing w:val="-3"/>
        </w:rPr>
        <w:t>chinguirito</w:t>
      </w:r>
      <w:r>
        <w:rPr>
          <w:spacing w:val="-3"/>
        </w:rPr>
        <w:t>, tuba, pulque amarillo corrupto o mezclado con “yerbas piñas”, que en Valladolid se llama charape.</w:t>
      </w:r>
      <w:r>
        <w:rPr>
          <w:rStyle w:val="5"/>
          <w:spacing w:val="-3"/>
        </w:rPr>
        <w:footnoteReference w:id="19"/>
      </w:r>
      <w:r>
        <w:rPr>
          <w:spacing w:val="-3"/>
        </w:rPr>
        <w:t xml:space="preserve"> Tan sólo se permitía la venta bebidas que se consideraban “saludables”:</w:t>
      </w:r>
    </w:p>
    <w:p>
      <w:pPr>
        <w:pStyle w:val="13"/>
        <w:spacing w:after="0"/>
        <w:jc w:val="both"/>
        <w:rPr>
          <w:spacing w:val="-3"/>
        </w:rPr>
      </w:pPr>
    </w:p>
    <w:p>
      <w:pPr>
        <w:pStyle w:val="13"/>
        <w:spacing w:after="0"/>
        <w:ind w:left="476" w:leftChars="192" w:right="583" w:rightChars="0" w:hanging="15" w:hangingChars="8"/>
        <w:jc w:val="both"/>
        <w:rPr>
          <w:spacing w:val="-3"/>
          <w:sz w:val="20"/>
          <w:szCs w:val="20"/>
        </w:rPr>
      </w:pPr>
      <w:r>
        <w:rPr>
          <w:spacing w:val="-3"/>
          <w:sz w:val="20"/>
          <w:szCs w:val="20"/>
        </w:rPr>
        <w:t>… sólo irrestrictamente exceptuados los caldos de Castilla, y los legítimos de vid, fabricados con licencia de los de los excelentísimos señores virreyes y el pulque blanco puro, sin mezcla alguna.</w:t>
      </w:r>
      <w:r>
        <w:rPr>
          <w:rStyle w:val="5"/>
          <w:spacing w:val="-3"/>
          <w:sz w:val="20"/>
          <w:szCs w:val="20"/>
        </w:rPr>
        <w:t xml:space="preserve"> </w:t>
      </w:r>
      <w:r>
        <w:rPr>
          <w:rStyle w:val="5"/>
          <w:spacing w:val="-3"/>
          <w:sz w:val="20"/>
          <w:szCs w:val="20"/>
        </w:rPr>
        <w:footnoteReference w:id="20"/>
      </w:r>
      <w:r>
        <w:rPr>
          <w:spacing w:val="-3"/>
          <w:sz w:val="20"/>
          <w:szCs w:val="20"/>
        </w:rPr>
        <w:t xml:space="preserve"> </w:t>
      </w:r>
    </w:p>
    <w:p>
      <w:pPr>
        <w:pStyle w:val="13"/>
        <w:spacing w:after="0"/>
        <w:jc w:val="both"/>
        <w:rPr>
          <w:spacing w:val="-3"/>
        </w:rPr>
      </w:pPr>
    </w:p>
    <w:p>
      <w:pPr>
        <w:pStyle w:val="13"/>
        <w:spacing w:after="0"/>
        <w:ind w:firstLine="709"/>
        <w:jc w:val="both"/>
        <w:rPr>
          <w:spacing w:val="-3"/>
        </w:rPr>
      </w:pPr>
      <w:r>
        <w:rPr>
          <w:spacing w:val="-3"/>
        </w:rPr>
        <w:t>Al permitir el consumo del pulque blanco estaban favoreciendo a los grandes hacendados pulqueros, algunos de ellos, con tal beneficio económico, que pudieron formar parte de la nobleza, como Pedro Romero de Terreros, conde de Regla, y Manuel Rodríguez de Pedroso, conde de Xala; quienes, además, abastecían a las numerosas pulquerías de la ciudad de México.</w:t>
      </w:r>
      <w:r>
        <w:rPr>
          <w:rStyle w:val="5"/>
          <w:spacing w:val="-3"/>
        </w:rPr>
        <w:footnoteReference w:id="21"/>
      </w:r>
      <w:r>
        <w:rPr>
          <w:spacing w:val="-3"/>
        </w:rPr>
        <w:t xml:space="preserve"> O bien, los miembros de las élites regionales, como Gabriel García Obeso, quien en 1775 introdujo a la ciudad de Valladolid 52 barriles y 1/3 de “caldos”, donde además de los vinos Carlón, de Málaga, de Jerez y blanco, había aceites y aguardiente de uva, brandi, coñac y ron; por los cuales pagó un impuesto de 372 pesos y ½ real.</w:t>
      </w:r>
      <w:r>
        <w:rPr>
          <w:rStyle w:val="5"/>
          <w:spacing w:val="-3"/>
        </w:rPr>
        <w:footnoteReference w:id="22"/>
      </w:r>
    </w:p>
    <w:p>
      <w:pPr>
        <w:pStyle w:val="13"/>
        <w:spacing w:after="0"/>
        <w:jc w:val="both"/>
        <w:rPr>
          <w:spacing w:val="-3"/>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285750</wp:posOffset>
            </wp:positionH>
            <wp:positionV relativeFrom="paragraph">
              <wp:posOffset>121285</wp:posOffset>
            </wp:positionV>
            <wp:extent cx="2995930" cy="1366520"/>
            <wp:effectExtent l="0" t="0" r="13970" b="5080"/>
            <wp:wrapSquare wrapText="bothSides"/>
            <wp:docPr id="3"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G_256"/>
                    <pic:cNvPicPr>
                      <a:picLocks noChangeAspect="1"/>
                    </pic:cNvPicPr>
                  </pic:nvPicPr>
                  <pic:blipFill>
                    <a:blip r:embed="rId10"/>
                    <a:stretch>
                      <a:fillRect/>
                    </a:stretch>
                  </pic:blipFill>
                  <pic:spPr>
                    <a:xfrm>
                      <a:off x="0" y="0"/>
                      <a:ext cx="2995930" cy="1366520"/>
                    </a:xfrm>
                    <a:prstGeom prst="rect">
                      <a:avLst/>
                    </a:prstGeom>
                    <a:noFill/>
                    <a:ln w="9525">
                      <a:noFill/>
                    </a:ln>
                  </pic:spPr>
                </pic:pic>
              </a:graphicData>
            </a:graphic>
          </wp:anchor>
        </w:drawing>
      </w:r>
    </w:p>
    <w:p>
      <w:pPr>
        <w:pStyle w:val="13"/>
        <w:spacing w:after="0"/>
        <w:jc w:val="both"/>
        <w:rPr>
          <w:spacing w:val="-3"/>
        </w:rPr>
      </w:pPr>
    </w:p>
    <w:p>
      <w:pPr>
        <w:pStyle w:val="13"/>
        <w:spacing w:after="0"/>
        <w:ind w:firstLine="709"/>
        <w:jc w:val="both"/>
        <w:rPr>
          <w:spacing w:val="-3"/>
        </w:rPr>
      </w:pPr>
      <w:r>
        <w:rPr>
          <w:spacing w:val="-3"/>
        </w:rPr>
        <w:t>Además, estos grandes comerciantes eran quienes realizaban el contrabando en escala</w:t>
      </w:r>
      <w:r>
        <w:rPr>
          <w:spacing w:val="-3"/>
          <w:lang w:val="es-MX"/>
        </w:rPr>
        <w:t xml:space="preserve"> mayor, delito por </w:t>
      </w:r>
      <w:r>
        <w:rPr>
          <w:spacing w:val="-3"/>
        </w:rPr>
        <w:t>el que pocas veces eran juzgados y condenados. Un buen ejemplo es el de Manuel Estrada García, comerciante de Maravatío, a quien se le llevaron tres juicios por contrabando a fines del siglo XVIII. El inculpado era poseedor de dos tiendas “mestizas” (una tienda grande que valdría unos 10,000 pesos), dueño del rancho Puarcha y de una Hacienda en Apeo (con un valor de 11,000 pesos); en 1784 introdujo procedente del puerto de Veracruz varias piezas de ropa y tela, aceite, y tres barriles de aguardiente, con valor de 65 pesos cada uno (en total 195 pesos), además de un tercio de barril de vino, con valor de 40 pesos.</w:t>
      </w:r>
      <w:r>
        <w:rPr>
          <w:rStyle w:val="5"/>
          <w:spacing w:val="-3"/>
        </w:rPr>
        <w:footnoteReference w:id="23"/>
      </w:r>
      <w:r>
        <w:rPr>
          <w:spacing w:val="-3"/>
        </w:rPr>
        <w:t xml:space="preserve"> Su castigo fue pecuniario y le permitió seguir en su labor de comercio legal e ilegal.</w:t>
      </w:r>
    </w:p>
    <w:p>
      <w:pPr>
        <w:pStyle w:val="13"/>
        <w:spacing w:after="0"/>
        <w:ind w:firstLine="709"/>
        <w:jc w:val="both"/>
        <w:rPr>
          <w:spacing w:val="-3"/>
        </w:rPr>
      </w:pPr>
      <w:r>
        <w:rPr>
          <w:spacing w:val="-3"/>
        </w:rPr>
        <w:t>A quienes realmente se perseguía eran a los pequeños productores que, por contravenir las órdenes reales, tenían que enfrentar la cárcel, el castigo físico y la miseria, no sólo para ellos sino también para sus ayudantes:</w:t>
      </w:r>
    </w:p>
    <w:p>
      <w:pPr>
        <w:pStyle w:val="13"/>
        <w:spacing w:after="0"/>
        <w:jc w:val="both"/>
        <w:rPr>
          <w:spacing w:val="-3"/>
        </w:rPr>
      </w:pPr>
    </w:p>
    <w:p>
      <w:pPr>
        <w:pStyle w:val="13"/>
        <w:spacing w:after="0"/>
        <w:ind w:left="480" w:leftChars="0" w:right="583" w:rightChars="0" w:firstLine="0" w:firstLineChars="0"/>
        <w:jc w:val="both"/>
        <w:rPr>
          <w:spacing w:val="-11"/>
          <w:sz w:val="20"/>
          <w:szCs w:val="20"/>
        </w:rPr>
      </w:pPr>
      <w:r>
        <w:rPr>
          <w:spacing w:val="-11"/>
          <w:sz w:val="20"/>
          <w:szCs w:val="20"/>
        </w:rPr>
        <w:t>…peones, leñeros, arrieros, carreteros, y otros que prestaren  fletaren carruajes, para la conducción de los simples a la fábrica, o para el expendio de los caldos. Y a los que arrendaren tierras, ranchos o cajas para las tales fábricas, y expendio de los brebajes, y guardarse vasijas, cueros, alquitaras, alambiques, u otros instrumentos conducentes.</w:t>
      </w:r>
      <w:r>
        <w:rPr>
          <w:rStyle w:val="5"/>
          <w:spacing w:val="-11"/>
          <w:sz w:val="20"/>
          <w:szCs w:val="20"/>
        </w:rPr>
        <w:t xml:space="preserve"> </w:t>
      </w:r>
      <w:r>
        <w:rPr>
          <w:rStyle w:val="5"/>
          <w:spacing w:val="-11"/>
          <w:sz w:val="20"/>
          <w:szCs w:val="20"/>
        </w:rPr>
        <w:footnoteReference w:id="24"/>
      </w:r>
    </w:p>
    <w:p>
      <w:pPr>
        <w:pStyle w:val="13"/>
        <w:spacing w:after="0"/>
        <w:jc w:val="both"/>
        <w:rPr>
          <w:spacing w:val="-3"/>
        </w:rPr>
      </w:pPr>
    </w:p>
    <w:p>
      <w:pPr>
        <w:pStyle w:val="13"/>
        <w:spacing w:after="0"/>
        <w:jc w:val="both"/>
        <w:rPr>
          <w:spacing w:val="-3"/>
        </w:rPr>
      </w:pPr>
      <w:r>
        <w:rPr>
          <w:spacing w:val="-3"/>
        </w:rPr>
        <w:t xml:space="preserve">Según advierte la ordenanza primera, aprobada por la ley 37 título 1º del libro 6º de la </w:t>
      </w:r>
      <w:r>
        <w:rPr>
          <w:i/>
          <w:spacing w:val="-3"/>
        </w:rPr>
        <w:t>Recopilación de leyes de Indias</w:t>
      </w:r>
      <w:r>
        <w:rPr>
          <w:spacing w:val="-3"/>
        </w:rPr>
        <w:t>.</w:t>
      </w:r>
    </w:p>
    <w:p>
      <w:pPr>
        <w:tabs>
          <w:tab w:val="left" w:pos="-720"/>
        </w:tabs>
        <w:spacing w:line="240" w:lineRule="atLeast"/>
        <w:jc w:val="both"/>
        <w:rPr>
          <w:spacing w:val="-3"/>
        </w:rPr>
      </w:pPr>
      <w:r>
        <w:rPr>
          <w:spacing w:val="-3"/>
        </w:rPr>
        <w:tab/>
      </w:r>
      <w:r>
        <w:rPr>
          <w:spacing w:val="-3"/>
        </w:rPr>
        <w:t>La mayoría de los que terminaban en la cárcel y perdiéndolo todo eran personas como José Morraz, vecino de la ciudad, preso  por la causa que se seguía “contra Marcelino Cornelio Uribe por comerciante en bebidas prohibidas”:</w:t>
      </w:r>
    </w:p>
    <w:p>
      <w:pPr>
        <w:tabs>
          <w:tab w:val="left" w:pos="-720"/>
        </w:tabs>
        <w:spacing w:line="240" w:lineRule="atLeast"/>
        <w:jc w:val="both"/>
        <w:rPr>
          <w:spacing w:val="-3"/>
        </w:rPr>
      </w:pPr>
    </w:p>
    <w:p>
      <w:pPr>
        <w:tabs>
          <w:tab w:val="left" w:pos="-720"/>
        </w:tabs>
        <w:spacing w:line="240" w:lineRule="atLeast"/>
        <w:ind w:left="476" w:leftChars="192" w:right="583" w:rightChars="0" w:hanging="15" w:hangingChars="8"/>
        <w:jc w:val="both"/>
        <w:rPr>
          <w:spacing w:val="-3"/>
          <w:sz w:val="20"/>
          <w:szCs w:val="20"/>
        </w:rPr>
      </w:pPr>
      <w:r>
        <w:rPr>
          <w:spacing w:val="-3"/>
          <w:sz w:val="20"/>
          <w:szCs w:val="20"/>
        </w:rPr>
        <w:t>…implicado por la culpa a que me arrastró mi miseria, suma pobreza, y crecida familia, de haberme encargado de expenderle una corta parte de caldos, para socorrer mis muchas necesidades con poca utilidad que me ofrecía mi trabajo, en tan infame servicio. Y sustanciada, el Señor Juez Privativo definitivamente juzgando se sirvió de condenarme a dos años de presidio entendiéndose este, en el Castillo de San Juan de Ulúa, lo que se me ha hecho saber en forma, y aunque obedecí, y obedezco ciegamente, y deseo servir a mi Soberano, pero estoy inválido, porque sobre padecer, mucho tiempo ha, accidentes habituales que aún; como es notorio me han impedido trabajar, en mi oficio de sastre, estoy quebrado de una puente del hombro que no me permite movimiento mayor en el brazo, no su uso expedito, de modo que no soy capaz de levantar cosa alguna de gravedad y también tengo falsa una mano, como todo consta de las dos certificaciones que en [fojas] útiles de dos cirujanos examinados y aprobados juro, y presento.</w:t>
      </w:r>
      <w:r>
        <w:rPr>
          <w:rStyle w:val="5"/>
          <w:spacing w:val="-3"/>
          <w:sz w:val="20"/>
          <w:szCs w:val="20"/>
        </w:rPr>
        <w:footnoteReference w:id="25"/>
      </w:r>
      <w:r>
        <w:rPr>
          <w:spacing w:val="-3"/>
          <w:sz w:val="20"/>
          <w:szCs w:val="20"/>
        </w:rPr>
        <w:t xml:space="preserve"> </w:t>
      </w:r>
    </w:p>
    <w:p>
      <w:pPr>
        <w:tabs>
          <w:tab w:val="left" w:pos="-720"/>
        </w:tabs>
        <w:spacing w:line="240" w:lineRule="atLeast"/>
        <w:jc w:val="both"/>
        <w:rPr>
          <w:spacing w:val="-3"/>
        </w:rPr>
      </w:pPr>
    </w:p>
    <w:p>
      <w:pPr>
        <w:tabs>
          <w:tab w:val="left" w:pos="-720"/>
        </w:tabs>
        <w:spacing w:line="240" w:lineRule="atLeast"/>
        <w:jc w:val="both"/>
        <w:rPr>
          <w:spacing w:val="-3"/>
        </w:rPr>
      </w:pPr>
      <w:r>
        <w:rPr>
          <w:spacing w:val="-3"/>
        </w:rPr>
        <w:t xml:space="preserve">La cárcel y el secuestro de todos los bienes que poseían eran, precisamente, los desposeídos; por ejemplo, el monto total de lo incautado a Uribe y Morraz fue de </w:t>
      </w:r>
      <w:r>
        <w:rPr>
          <w:spacing w:val="-2"/>
        </w:rPr>
        <w:t xml:space="preserve"> cincuenta y tres pesos, uno y medio reales; menos de lo que valían uno de los barriles introducidos por Estrada García, por la misma época.</w:t>
      </w:r>
    </w:p>
    <w:p>
      <w:pPr>
        <w:pStyle w:val="13"/>
        <w:spacing w:after="0"/>
        <w:jc w:val="both"/>
        <w:rPr>
          <w:spacing w:val="-3"/>
        </w:rPr>
      </w:pPr>
      <w:r>
        <w:rPr>
          <w:spacing w:val="-3"/>
        </w:rPr>
        <w:tab/>
      </w:r>
      <w:r>
        <w:rPr>
          <w:spacing w:val="-3"/>
        </w:rPr>
        <w:t xml:space="preserve">La justificación al monopolio del vino español en las mesas novohispanas se basó en “causas” médicas y en los efectos a los consumidores habituales: </w:t>
      </w:r>
    </w:p>
    <w:p>
      <w:pPr>
        <w:tabs>
          <w:tab w:val="left" w:pos="-720"/>
        </w:tabs>
        <w:ind w:left="1418" w:right="900"/>
        <w:jc w:val="both"/>
        <w:rPr>
          <w:spacing w:val="-3"/>
        </w:rPr>
      </w:pPr>
    </w:p>
    <w:p>
      <w:pPr>
        <w:tabs>
          <w:tab w:val="left" w:pos="-720"/>
        </w:tabs>
        <w:ind w:left="480" w:leftChars="0" w:right="583" w:rightChars="0" w:firstLine="0" w:firstLineChars="0"/>
        <w:jc w:val="both"/>
        <w:rPr>
          <w:spacing w:val="-3"/>
          <w:sz w:val="20"/>
          <w:szCs w:val="20"/>
        </w:rPr>
      </w:pPr>
      <w:r>
        <w:rPr>
          <w:spacing w:val="-3"/>
          <w:sz w:val="20"/>
          <w:szCs w:val="20"/>
        </w:rPr>
        <w:t>…se prohíbe la fábrica y expendio de aguardiente de caña como nocivos a la naturaleza humana.</w:t>
      </w:r>
      <w:r>
        <w:rPr>
          <w:rStyle w:val="5"/>
          <w:spacing w:val="-3"/>
          <w:sz w:val="20"/>
          <w:szCs w:val="20"/>
        </w:rPr>
        <w:footnoteReference w:id="26"/>
      </w:r>
    </w:p>
    <w:p>
      <w:pPr>
        <w:tabs>
          <w:tab w:val="left" w:pos="-720"/>
        </w:tabs>
        <w:jc w:val="both"/>
        <w:rPr>
          <w:spacing w:val="-3"/>
        </w:rPr>
      </w:pPr>
    </w:p>
    <w:p>
      <w:pPr>
        <w:tabs>
          <w:tab w:val="left" w:pos="-720"/>
        </w:tabs>
        <w:jc w:val="both"/>
        <w:rPr>
          <w:spacing w:val="-3"/>
        </w:rPr>
      </w:pPr>
      <w:r>
        <w:rPr>
          <w:spacing w:val="-3"/>
        </w:rPr>
        <w:t>Aunque es evidente que, al desalentar la fabricación de los aguardientes regionales, la corona buscaba favorecer la importación de los vinos y aguardientes españoles.</w:t>
      </w:r>
      <w:r>
        <w:rPr>
          <w:rStyle w:val="5"/>
          <w:spacing w:val="-3"/>
        </w:rPr>
        <w:footnoteReference w:id="27"/>
      </w:r>
      <w:r>
        <w:rPr>
          <w:spacing w:val="-3"/>
        </w:rPr>
        <w:t xml:space="preserve"> No obstante el incremento de la producción de mezcales, en particular en la región de Tequila, en Nueva Galicia, evidenció que era mejor gravar impositivamente a las bebidas prohibidas de carácter agroindustrial que prohibirlas, como sucedió hasta 1795.</w:t>
      </w:r>
      <w:r>
        <w:rPr>
          <w:rStyle w:val="5"/>
          <w:spacing w:val="-3"/>
        </w:rPr>
        <w:footnoteReference w:id="28"/>
      </w:r>
    </w:p>
    <w:p>
      <w:pPr>
        <w:tabs>
          <w:tab w:val="left" w:pos="-720"/>
        </w:tabs>
        <w:jc w:val="both"/>
        <w:rPr>
          <w:spacing w:val="-3"/>
        </w:rPr>
      </w:pPr>
      <w:r>
        <w:rPr>
          <w:spacing w:val="-3"/>
        </w:rPr>
        <w:tab/>
      </w:r>
      <w:r>
        <w:rPr>
          <w:spacing w:val="-3"/>
        </w:rPr>
        <w:t>Aunque es hasta el siglo XVIII que el ánimo reformista y codificador de los borbones se fija en los alcoholes como un medio para obtener recursos económicos; por ello, Felipe V, en cédulas del 30/septiembre/1714 y 15/junio/1720, y Fernando VI, en otra del 15/julio/1749, prohíben la fábrica y expendio de las bebidas regionales americanas, que son ratificadas en bandos de los virreyes como el Juan Antonio de Visarrón y Eguivarreta, Conde de Fuenclara y Revillagigedo, aunque los fabricantes y comerciantes de aguardientes contrahechos continúan la producción y venta: “despreciando rebeldes estos órdenes y cuantos en repetidos bandos de los excelentísimos señores” se habían dado.</w:t>
      </w:r>
      <w:r>
        <w:rPr>
          <w:rStyle w:val="5"/>
          <w:spacing w:val="-3"/>
        </w:rPr>
        <w:footnoteReference w:id="29"/>
      </w:r>
    </w:p>
    <w:p>
      <w:pPr>
        <w:tabs>
          <w:tab w:val="left" w:pos="-720"/>
        </w:tabs>
        <w:jc w:val="both"/>
        <w:rPr>
          <w:spacing w:val="-3"/>
        </w:rPr>
      </w:pPr>
      <w:r>
        <w:rPr>
          <w:spacing w:val="-2"/>
        </w:rPr>
        <w:tab/>
      </w:r>
      <w:r>
        <w:rPr>
          <w:spacing w:val="-2"/>
        </w:rPr>
        <w:t xml:space="preserve">A fines del periodo colonial era evidente para la Dirección General de Rentas </w:t>
      </w:r>
      <w:r>
        <w:rPr>
          <w:spacing w:val="-3"/>
        </w:rPr>
        <w:t xml:space="preserve">de las Reales Alcabalas, de Pulques y Aguardientes </w:t>
      </w:r>
      <w:r>
        <w:rPr>
          <w:spacing w:val="-2"/>
        </w:rPr>
        <w:t xml:space="preserve">del Consejo de Hacienda, </w:t>
      </w:r>
      <w:r>
        <w:rPr>
          <w:spacing w:val="-3"/>
        </w:rPr>
        <w:t xml:space="preserve">que era imposible hacer respetar a productores, comerciantes y consumidores las ordenanzas. Ante la evasión impositiva lo más viable era </w:t>
      </w:r>
      <w:r>
        <w:rPr>
          <w:spacing w:val="-2"/>
        </w:rPr>
        <w:t xml:space="preserve">ordenar a los  </w:t>
      </w:r>
      <w:r>
        <w:rPr>
          <w:spacing w:val="-3"/>
        </w:rPr>
        <w:t xml:space="preserve">Administradores de las Reales Alcabalas, de Pulques y Aguardientes de Caña: </w:t>
      </w:r>
    </w:p>
    <w:p>
      <w:pPr>
        <w:tabs>
          <w:tab w:val="left" w:pos="-720"/>
        </w:tabs>
        <w:jc w:val="both"/>
        <w:rPr>
          <w:spacing w:val="-3"/>
        </w:rPr>
      </w:pPr>
    </w:p>
    <w:p>
      <w:pPr>
        <w:tabs>
          <w:tab w:val="left" w:pos="-720"/>
        </w:tabs>
        <w:ind w:left="476" w:leftChars="192" w:right="583" w:rightChars="0" w:hanging="15" w:hangingChars="8"/>
        <w:jc w:val="both"/>
        <w:rPr>
          <w:spacing w:val="-3"/>
        </w:rPr>
      </w:pPr>
      <w:r>
        <w:rPr>
          <w:spacing w:val="-3"/>
          <w:sz w:val="20"/>
          <w:szCs w:val="20"/>
        </w:rPr>
        <w:t xml:space="preserve">…que se debe cobrar alcabalas como sin los Barriles o Pellejos estuviesen llenos, y se recojan los no declarados. </w:t>
      </w:r>
      <w:r>
        <w:rPr>
          <w:rStyle w:val="5"/>
          <w:spacing w:val="-3"/>
          <w:sz w:val="20"/>
          <w:szCs w:val="20"/>
        </w:rPr>
        <w:footnoteReference w:id="30"/>
      </w:r>
    </w:p>
    <w:p>
      <w:pPr>
        <w:tabs>
          <w:tab w:val="left" w:pos="-720"/>
        </w:tabs>
        <w:jc w:val="both"/>
        <w:rPr>
          <w:spacing w:val="-3"/>
        </w:rPr>
      </w:pPr>
      <w:r>
        <w:rPr>
          <w:spacing w:val="-3"/>
        </w:rPr>
        <w:tab/>
      </w:r>
    </w:p>
    <w:p>
      <w:pPr>
        <w:tabs>
          <w:tab w:val="left" w:pos="-720"/>
        </w:tabs>
        <w:jc w:val="both"/>
        <w:rPr>
          <w:spacing w:val="-2"/>
        </w:rPr>
      </w:pPr>
      <w:r>
        <w:rPr>
          <w:spacing w:val="-3"/>
        </w:rPr>
        <w:t>Con ello no se buscaba ya frenar la producción, sino que, sin contravenir la prohibición, la administración colonial pudiera obtener beneficios económicos de la producción, gravándola y sancionando a quien no declarara.</w:t>
      </w:r>
      <w:r>
        <w:rPr>
          <w:rStyle w:val="5"/>
          <w:spacing w:val="-3"/>
        </w:rPr>
        <w:footnoteReference w:id="31"/>
      </w:r>
      <w:r>
        <w:rPr>
          <w:spacing w:val="-3"/>
        </w:rPr>
        <w:t xml:space="preserve">  </w:t>
      </w:r>
    </w:p>
    <w:p>
      <w:pPr>
        <w:pStyle w:val="13"/>
        <w:spacing w:after="0"/>
        <w:ind w:firstLine="709"/>
        <w:jc w:val="both"/>
        <w:rPr>
          <w:spacing w:val="-3"/>
        </w:rPr>
      </w:pPr>
      <w:r>
        <w:rPr>
          <w:spacing w:val="-3"/>
        </w:rPr>
        <w:t>La embriaguez fue una práctica común entre los individuos pertenecientes a los sectores más desfavorecidos de la sociedad novohispana; difícil es entender las motivaciones para que indios, mulatos y negros, contraviniendo las ordenanzas, simularan comprar vino para sus amos, con él se emborracharan y después pelearan, de lo que sucedieron algunas muertes. Argumentar catarsis, desfogue, fuga de la realidad ante la segregación, la esclavitud y la servidumbre forzada, sería darle una solución demasiado sencilla, que no explica las excepciones.</w:t>
      </w:r>
    </w:p>
    <w:p>
      <w:pPr>
        <w:pStyle w:val="13"/>
        <w:spacing w:after="0"/>
        <w:ind w:firstLine="709"/>
        <w:jc w:val="both"/>
      </w:pPr>
      <w:r>
        <w:t>Aunque en la Nueva España los vinos contrahechos estuvieron prohibidos para favorecer la importación de los vinos europeos, peruanos y chilenos, la elaboración de bebidas fermentadas de origen mesoamericano, como el pulque, y de alcoholes destilados, como el mezcal, no pudo ser desaparecida; pues el bajo costo de elaboración y el gusto social,</w:t>
      </w:r>
      <w:r>
        <w:rPr>
          <w:rStyle w:val="5"/>
        </w:rPr>
        <w:footnoteReference w:id="32"/>
      </w:r>
      <w:r>
        <w:t xml:space="preserve"> con apariencia de “inclinación”, que existía entre los sectores más bajos de la población michoacana por las bebidas embriagantes, sobre todo las de alta gradación etílica, alentó su existencia en la clandestinidad.</w:t>
      </w:r>
      <w:r>
        <w:rPr>
          <w:rStyle w:val="5"/>
        </w:rPr>
        <w:footnoteReference w:id="33"/>
      </w:r>
    </w:p>
    <w:p>
      <w:pPr>
        <w:pStyle w:val="13"/>
        <w:spacing w:after="0"/>
        <w:jc w:val="both"/>
      </w:pPr>
      <w:r>
        <w:tab/>
      </w:r>
      <w:r>
        <w:t>Una vinata común, en el Michoacán colonial, podía tenerse en un pequeño cuarto de adobe techado de tejamanil, con un corredor, y cercado de carrizo, para evitar la mirada de los curiosos. En él se podían colocar unas doce botijas de cuero, colgadas de armazones de madera, para favorecer la fermentación. La “tuba” se realizaba con un costal de panocha prieta, disuelta en agua;  la cual se ponía a destilar en un alambique de fierro, aunque era más común el cobre. El licor destilado era recolectado en barriles de madera.</w:t>
      </w:r>
      <w:r>
        <w:rPr>
          <w:rStyle w:val="5"/>
        </w:rPr>
        <w:footnoteReference w:id="34"/>
      </w:r>
      <w:r>
        <w:t xml:space="preserve"> Al aguardiente que resultaba se le conocía como “Chinguirito”, y se expendía de manera subrepticia en establecimientos para tal fin.</w:t>
      </w:r>
    </w:p>
    <w:p>
      <w:pPr>
        <w:tabs>
          <w:tab w:val="left" w:pos="-720"/>
        </w:tabs>
        <w:jc w:val="both"/>
        <w:rPr>
          <w:spacing w:val="-3"/>
        </w:rPr>
      </w:pPr>
      <w:r>
        <w:rPr>
          <w:spacing w:val="-3"/>
        </w:rPr>
        <w:tab/>
      </w:r>
      <w:r>
        <w:rPr>
          <w:spacing w:val="-3"/>
        </w:rPr>
        <w:t>En general el chinguirito era expendido en accesorias que eran a la vez habitación, cocina, “changarro” (“tienda de menudencias”) y cantina: En una armazón de vinatería, con su mostrador, había frascos castellanos y vasitos de cristal, algunas redomas de Puebla, botijas de “a real”, medidas de “a cuartillo” y embudos para vender el aguardiente. Una mesa vieja, con sus manteles y un candelabro de bronce, una banca y dos sillas serranas. Como sucede ahora, la bebida se acompañaba con alimentos; preparados en  un pequeño bracero de bronce, con un cazo de cobre y varias ollas. La comida se servía sobre algunos platos de barro de Tzintzunzan, con cucharas y tenedores de cobre. En la pared había un marquito dorado con una Santísima Trinidad, una imagen de Nuestra Señora de los Dolores, pintada en Lienzo, tenía una repisa debajo con algunas veladoras; la flanqueaba un cuadrito con un Corazón de Jesús, pintado sobre una tabla ya rajada. Detrás del mostrador había una almohada de cotense, dos fresadas y una colcha vieja que se tendían sobre la mesa para dormir.</w:t>
      </w:r>
      <w:r>
        <w:rPr>
          <w:rStyle w:val="5"/>
          <w:spacing w:val="-3"/>
        </w:rPr>
        <w:t xml:space="preserve"> </w:t>
      </w:r>
      <w:r>
        <w:rPr>
          <w:rStyle w:val="5"/>
          <w:spacing w:val="-3"/>
        </w:rPr>
        <w:footnoteReference w:id="35"/>
      </w:r>
    </w:p>
    <w:p>
      <w:pPr>
        <w:tabs>
          <w:tab w:val="left" w:pos="-720"/>
        </w:tabs>
        <w:jc w:val="both"/>
        <w:rPr>
          <w:spacing w:val="-3"/>
        </w:rPr>
      </w:pPr>
    </w:p>
    <w:p>
      <w:pPr>
        <w:tabs>
          <w:tab w:val="left" w:pos="-720"/>
        </w:tabs>
        <w:jc w:val="both"/>
        <w:rPr>
          <w:spacing w:val="-3"/>
        </w:rPr>
      </w:pPr>
      <w:r>
        <w:rPr>
          <w:smallCaps/>
          <w:spacing w:val="-3"/>
        </w:rPr>
        <w:t>..sangre de indios mezclada con “coyotes”, en su color</w:t>
      </w:r>
    </w:p>
    <w:p>
      <w:pPr>
        <w:tabs>
          <w:tab w:val="left" w:pos="-720"/>
        </w:tabs>
        <w:jc w:val="both"/>
        <w:rPr>
          <w:spacing w:val="-3"/>
        </w:rPr>
      </w:pPr>
    </w:p>
    <w:p>
      <w:pPr>
        <w:pStyle w:val="13"/>
        <w:spacing w:after="0"/>
        <w:jc w:val="both"/>
      </w:pPr>
      <w:r>
        <w:t>Las leyes de indias prohibían expresamente a las castas, es decir, a los afrodescendientes, que residieran en los “pueblos de indios”, señalando como áreas para su residencia los espacios productivos: minas, obrajes, ingenios y haciendas; la periferia de los espacios urbanos: “extramuros” de las defensas de los puertos, y los barrios marginales de las ciudades y villas de “españoles”. Esta exclusión entre los órdenes sociales de los “indios” y los “españoles” colocó a los afrodescendientes en los márgenes residenciales, políticos y económicos de la sociedad novohispana, cuando menos de manera efectiva, durante el primer siglo colonial; sin embargo, una sociedad segregada no era, ni es posible.</w:t>
      </w:r>
      <w:r>
        <w:rPr>
          <w:rStyle w:val="5"/>
        </w:rPr>
        <w:footnoteReference w:id="36"/>
      </w:r>
      <w:r>
        <w:t xml:space="preserve"> </w:t>
      </w:r>
    </w:p>
    <w:p>
      <w:pPr>
        <w:tabs>
          <w:tab w:val="left" w:pos="-720"/>
        </w:tabs>
        <w:jc w:val="both"/>
        <w:rPr>
          <w:spacing w:val="-3"/>
        </w:rPr>
      </w:pPr>
      <w:r>
        <w:rPr>
          <w:spacing w:val="-3"/>
        </w:rPr>
        <w:tab/>
      </w:r>
      <w:r>
        <w:rPr>
          <w:spacing w:val="-3"/>
        </w:rPr>
        <w:t>En 1552 se da una ordenanza para que ningún español, negro ni mestizo, resida más de tres días en los pueblos de indios de la provincia de Michoacán, a menos que fueran trabajadores de los encomenderos o recolectores de tributos; pues era común que los obligaran a mantenerlos y no les pagaran los recursos consumidos del pueblo.</w:t>
      </w:r>
      <w:r>
        <w:rPr>
          <w:rStyle w:val="5"/>
          <w:spacing w:val="-3"/>
        </w:rPr>
        <w:t xml:space="preserve"> </w:t>
      </w:r>
      <w:r>
        <w:rPr>
          <w:rStyle w:val="5"/>
          <w:spacing w:val="-3"/>
        </w:rPr>
        <w:footnoteReference w:id="37"/>
      </w:r>
      <w:r>
        <w:rPr>
          <w:rStyle w:val="5"/>
          <w:spacing w:val="-3"/>
        </w:rPr>
        <w:t xml:space="preserve"> </w:t>
      </w:r>
      <w:r>
        <w:rPr>
          <w:spacing w:val="-3"/>
        </w:rPr>
        <w:t>En particular los indígenas de Tiripetío pidieron un mandamiento para que ningún español ni mestizo estuviera tres días.</w:t>
      </w:r>
      <w:r>
        <w:rPr>
          <w:rStyle w:val="5"/>
          <w:spacing w:val="-3"/>
        </w:rPr>
        <w:footnoteReference w:id="38"/>
      </w:r>
    </w:p>
    <w:p>
      <w:pPr>
        <w:tabs>
          <w:tab w:val="left" w:pos="-720"/>
        </w:tabs>
        <w:jc w:val="both"/>
      </w:pPr>
      <w:r>
        <w:rPr>
          <w:spacing w:val="-3"/>
        </w:rPr>
        <w:tab/>
      </w:r>
      <w:r>
        <w:rPr>
          <w:spacing w:val="-3"/>
        </w:rPr>
        <w:t>La razón de este impedimento es que, siendo los afrodescendientes vaqueros de las haciendas, ocasionaban muchos daños a las labranzas de los pueblos al meter los ganados a los cultivos.</w:t>
      </w:r>
      <w:r>
        <w:rPr>
          <w:rStyle w:val="5"/>
          <w:spacing w:val="-3"/>
        </w:rPr>
        <w:footnoteReference w:id="39"/>
      </w:r>
      <w:r>
        <w:rPr>
          <w:spacing w:val="-3"/>
        </w:rPr>
        <w:t xml:space="preserve"> Aunque algunos sólo obedecían órdenes de sus amos y patrones, otros no veían contradicción en explotar a los explotados, amparados en el poder de sector hispano.</w:t>
      </w:r>
      <w:r>
        <w:t xml:space="preserve"> </w:t>
      </w:r>
    </w:p>
    <w:p>
      <w:pPr>
        <w:pStyle w:val="13"/>
        <w:spacing w:after="0"/>
        <w:ind w:firstLine="709"/>
        <w:jc w:val="both"/>
      </w:pPr>
      <w:r>
        <w:t>La transgresión de las diversas disposiciones sobre residencia, que existían en las leyes coloniales, se debió a diversos factores principalmente económicos, que derivaron en sociales, y en ellos lo familiar tuvo un peso específico digno de ser considerado. La interacción económica entre los distintos miembros de la sociedad estamentaria novohispana motivó una, cada vez mayor, interacción social que derivó, en algunos casos, en conflictos que se pensaron atenuar mediante prácticas a la vez religiosas y culturales, como el “compadrazgo” o la “hermandad” en la cofradías de carácter gremial; sin embargo, la mayoría de estas relaciones productivas construyeron, necesariamente, vínculos sociales fuertes aunque no necesariamente documentados.</w:t>
      </w:r>
      <w:r>
        <w:rPr>
          <w:rStyle w:val="5"/>
        </w:rPr>
        <w:footnoteReference w:id="40"/>
      </w:r>
      <w:r>
        <w:t xml:space="preserve"> El trato cotidiano entre maestros, oficiales, operarios y aprendices en un gremio, en las fiestas de las cofradías multiétnicas o en los ejercicios militares es evidente a través de los archivos eclesiásticos y civiles; el conflicto se muestra en los documentos judiciales; pero ¿cómo entender la gama compleja de relaciones sociales que va del respeto afectivo del compadrazgo a la animadversión atroz y violenta del asesinato? </w:t>
      </w:r>
    </w:p>
    <w:p>
      <w:pPr>
        <w:pStyle w:val="13"/>
        <w:spacing w:after="0"/>
        <w:ind w:firstLine="709"/>
        <w:jc w:val="both"/>
      </w:pPr>
      <w:r>
        <w:t>En otro trabajo he mostrado como varios afrodescendientes formaron parte del cabildo en pueblos indios, tal es el caso de Acuitzio y Jicalan, a los que puedo añadir San Juan Parangaricutiro y Zirosto.</w:t>
      </w:r>
      <w:r>
        <w:rPr>
          <w:rStyle w:val="5"/>
        </w:rPr>
        <w:footnoteReference w:id="41"/>
      </w:r>
      <w:r>
        <w:t xml:space="preserve"> En muchos casos porque la población era ya mestiza, a grado tal que, el subdelegado de Tiripetío hablando del pueblo de Acuitzio dice:</w:t>
      </w:r>
    </w:p>
    <w:p>
      <w:pPr>
        <w:pStyle w:val="13"/>
        <w:spacing w:after="0"/>
        <w:ind w:firstLine="709"/>
        <w:jc w:val="both"/>
      </w:pPr>
    </w:p>
    <w:p>
      <w:pPr>
        <w:pStyle w:val="13"/>
        <w:spacing w:after="0"/>
        <w:ind w:left="478" w:leftChars="199" w:right="583" w:rightChars="0" w:firstLine="2" w:firstLineChars="0"/>
        <w:jc w:val="both"/>
        <w:rPr>
          <w:sz w:val="20"/>
          <w:szCs w:val="20"/>
        </w:rPr>
      </w:pPr>
      <w:r>
        <w:rPr>
          <w:sz w:val="20"/>
          <w:szCs w:val="20"/>
        </w:rPr>
        <w:t>…en realidad ya no son indios puros, sino mezclados con todas las demás castas, pues si se va a averiguar esto, no dudo se hallarán muy pocas familias en cada pueblo que conserven las calidades de su origen.</w:t>
      </w:r>
      <w:r>
        <w:rPr>
          <w:rStyle w:val="5"/>
          <w:sz w:val="20"/>
          <w:szCs w:val="20"/>
        </w:rPr>
        <w:footnoteReference w:id="42"/>
      </w:r>
    </w:p>
    <w:p>
      <w:pPr>
        <w:pStyle w:val="13"/>
        <w:spacing w:after="0"/>
        <w:ind w:firstLine="709"/>
        <w:jc w:val="both"/>
      </w:pPr>
    </w:p>
    <w:p>
      <w:pPr>
        <w:pStyle w:val="13"/>
        <w:spacing w:after="0"/>
        <w:jc w:val="both"/>
      </w:pPr>
      <w:r>
        <w:t>Problema que preocupó a las autoridades quienes a través de impresos, como uno que hizo publicar el Virrey Bucareli, hicieron circular ordenanzas para evitar que los afrodescendientes con aspecto y cultura de “indios”, ocuparan cargos en las repúblicas de naturales.</w:t>
      </w:r>
      <w:r>
        <w:rPr>
          <w:rStyle w:val="5"/>
        </w:rPr>
        <w:footnoteReference w:id="43"/>
      </w:r>
    </w:p>
    <w:p>
      <w:pPr>
        <w:pStyle w:val="13"/>
        <w:spacing w:after="0"/>
        <w:ind w:firstLine="709"/>
        <w:jc w:val="both"/>
      </w:pPr>
      <w:r>
        <w:t>La permanencia en los pueblos indios por generaciones vinculó, mediante parentesco y a veces por casta, a los afrodescendientes con los indígenas; por ejemplo, Nicolás Congo tuvo una disputa por un pedazo de tierra con su tía, María Sambi, a pesar de sus apellidos, ambos son “indios principales” de Cherán.</w:t>
      </w:r>
      <w:r>
        <w:rPr>
          <w:rStyle w:val="5"/>
        </w:rPr>
        <w:footnoteReference w:id="44"/>
      </w:r>
      <w:r>
        <w:t xml:space="preserve"> El caso contrario sucede con Andrés Uaruri, mulato de apellido indígena, quien se “roba” a una indígena casada, después de “la Fiesta de Ánimas”, en San Andrés Tziróndaro.</w:t>
      </w:r>
      <w:r>
        <w:rPr>
          <w:rStyle w:val="5"/>
        </w:rPr>
        <w:footnoteReference w:id="45"/>
      </w:r>
      <w:r>
        <w:t xml:space="preserve"> Entre las complejas relaciones sociales también aparece el amor, como cuando la mulata María Mintzitari es cortejada por el hijo de un alcalde, del pueblo indio de Uruapan, y para realizar su unión huye a San Juan Parangaricutiro.</w:t>
      </w:r>
      <w:r>
        <w:rPr>
          <w:rStyle w:val="5"/>
        </w:rPr>
        <w:footnoteReference w:id="46"/>
      </w:r>
      <w:r>
        <w:t xml:space="preserve"> Un caso semejante es el del mulato esclavo Juan Francisco Cervantes, vecino de Uruapan, a quien su esposa Juana Guipique, “india coyota de dicho pueblo”, le compró una pequeña recua de bestias para que fuera trabajando de arriero y con ello consiguiera su libertad.</w:t>
      </w:r>
      <w:r>
        <w:rPr>
          <w:rStyle w:val="5"/>
        </w:rPr>
        <w:footnoteReference w:id="47"/>
      </w:r>
    </w:p>
    <w:p>
      <w:pPr>
        <w:tabs>
          <w:tab w:val="left" w:pos="-720"/>
        </w:tabs>
        <w:jc w:val="both"/>
      </w:pPr>
      <w:r>
        <w:tab/>
      </w:r>
      <w:r>
        <w:t xml:space="preserve"> En algunos pueblos de indios, donde los afrodescendientes fueron numerosos desde los primeros años de la Nueva España, la micigenación es tal que, el color de la piel de sus vecinos es subida de tono:</w:t>
      </w:r>
    </w:p>
    <w:p>
      <w:pPr>
        <w:tabs>
          <w:tab w:val="left" w:pos="-720"/>
        </w:tabs>
        <w:jc w:val="both"/>
      </w:pPr>
    </w:p>
    <w:p>
      <w:pPr>
        <w:tabs>
          <w:tab w:val="left" w:pos="-720"/>
        </w:tabs>
        <w:ind w:left="479" w:leftChars="192" w:right="583" w:rightChars="0" w:hanging="18" w:hangingChars="9"/>
        <w:jc w:val="both"/>
        <w:rPr>
          <w:sz w:val="20"/>
          <w:szCs w:val="20"/>
        </w:rPr>
      </w:pPr>
      <w:r>
        <w:rPr>
          <w:sz w:val="20"/>
          <w:szCs w:val="20"/>
        </w:rPr>
        <w:t>…que habiéndose poblado este pueblo de San Francisco Uruapan de sangre de indios mezclada de coyotes en su color.</w:t>
      </w:r>
      <w:r>
        <w:rPr>
          <w:rStyle w:val="5"/>
          <w:sz w:val="20"/>
          <w:szCs w:val="20"/>
        </w:rPr>
        <w:footnoteReference w:id="48"/>
      </w:r>
    </w:p>
    <w:p>
      <w:pPr>
        <w:tabs>
          <w:tab w:val="left" w:pos="-720"/>
        </w:tabs>
        <w:jc w:val="both"/>
        <w:rPr>
          <w:spacing w:val="-3"/>
        </w:rPr>
      </w:pPr>
    </w:p>
    <w:p>
      <w:pPr>
        <w:tabs>
          <w:tab w:val="left" w:pos="-720"/>
        </w:tabs>
        <w:jc w:val="both"/>
        <w:rPr>
          <w:spacing w:val="-3"/>
        </w:rPr>
      </w:pPr>
      <w:r>
        <w:rPr>
          <w:spacing w:val="-3"/>
        </w:rPr>
        <w:tab/>
      </w:r>
      <w:r>
        <w:rPr>
          <w:spacing w:val="-3"/>
        </w:rPr>
        <w:t>Vecinos de “color oscuro”; pero que hablan la lengua de Michoacán como materna. Esa es la causa de que dos jóvenes arrieros de Uruapan, uno llamado Juan Ignacio Antúnez, de calidad “coyote”, y su primo segundo Pedro Sandoval, “mulato”, al presentar una declaración ante la justicia en Nahuatzen necesiten como intérprete a Gabriel Espino, pues únicamente hablan “tarasco”.</w:t>
      </w:r>
      <w:r>
        <w:rPr>
          <w:rStyle w:val="5"/>
          <w:spacing w:val="-3"/>
        </w:rPr>
        <w:footnoteReference w:id="49"/>
      </w:r>
    </w:p>
    <w:p>
      <w:pPr>
        <w:tabs>
          <w:tab w:val="left" w:pos="-720"/>
        </w:tabs>
        <w:jc w:val="both"/>
        <w:rPr>
          <w:spacing w:val="-3"/>
        </w:rPr>
      </w:pPr>
      <w:r>
        <w:rPr>
          <w:spacing w:val="-3"/>
        </w:rPr>
        <w:tab/>
      </w:r>
      <w:r>
        <w:rPr>
          <w:spacing w:val="-3"/>
        </w:rPr>
        <w:t xml:space="preserve">A fines del periodo colonial la mayoría de los pueblos indios del centro de Michoacán tenían alguna población afrodescendiente viviendo entre la población indígena y emparentada con ella; por eso las autoridades los trataba como tales, aunque legalmente no les correspondiera. </w:t>
      </w:r>
    </w:p>
    <w:p>
      <w:pPr>
        <w:tabs>
          <w:tab w:val="left" w:pos="-720"/>
        </w:tabs>
        <w:jc w:val="both"/>
        <w:rPr>
          <w:spacing w:val="-3"/>
        </w:rPr>
      </w:pPr>
    </w:p>
    <w:p>
      <w:pPr>
        <w:tabs>
          <w:tab w:val="left" w:pos="-720"/>
        </w:tabs>
        <w:ind w:left="480" w:leftChars="0" w:right="583" w:rightChars="0" w:firstLine="0" w:firstLineChars="0"/>
        <w:jc w:val="both"/>
        <w:rPr>
          <w:spacing w:val="-3"/>
          <w:sz w:val="20"/>
          <w:szCs w:val="20"/>
        </w:rPr>
      </w:pPr>
      <w:r>
        <w:rPr>
          <w:spacing w:val="-3"/>
          <w:sz w:val="20"/>
          <w:szCs w:val="20"/>
        </w:rPr>
        <w:t>…que entre los indios del pueblo de Xicalán, no pasaran de cuatro los que pueden serlo sin mezcla de otras castas, pues todos son tenidos y reputados por Lobos y Mulatos, gozando del privilegio de indios, solo por estar reducidos como estos.</w:t>
      </w:r>
      <w:r>
        <w:rPr>
          <w:rStyle w:val="5"/>
          <w:spacing w:val="-3"/>
          <w:sz w:val="20"/>
          <w:szCs w:val="20"/>
        </w:rPr>
        <w:footnoteReference w:id="50"/>
      </w:r>
    </w:p>
    <w:p>
      <w:pPr>
        <w:tabs>
          <w:tab w:val="left" w:pos="-720"/>
        </w:tabs>
        <w:jc w:val="both"/>
        <w:rPr>
          <w:spacing w:val="-3"/>
        </w:rPr>
      </w:pPr>
    </w:p>
    <w:p>
      <w:pPr>
        <w:tabs>
          <w:tab w:val="left" w:pos="-720"/>
        </w:tabs>
        <w:jc w:val="both"/>
        <w:rPr>
          <w:spacing w:val="-3"/>
        </w:rPr>
      </w:pPr>
      <w:r>
        <w:rPr>
          <w:spacing w:val="-3"/>
        </w:rPr>
        <w:t>Vivir en orden y policía, en posesión de las tierras comunales, trabajar estas, pagar tributo y obvenciones eclesiásticas, otorgaba el derecho a ser administrados como “indios”, incluso para los pueblos abiertamente de mulatos, como Pintzandaro, quien logró sin mayor oposición una composición de tierras en 1760.</w:t>
      </w:r>
      <w:r>
        <w:rPr>
          <w:rStyle w:val="5"/>
          <w:spacing w:val="-3"/>
        </w:rPr>
        <w:footnoteReference w:id="51"/>
      </w:r>
    </w:p>
    <w:p>
      <w:pPr>
        <w:tabs>
          <w:tab w:val="left" w:pos="-720"/>
        </w:tabs>
        <w:jc w:val="both"/>
        <w:rPr>
          <w:spacing w:val="-3"/>
        </w:rPr>
      </w:pPr>
      <w:r>
        <w:rPr>
          <w:spacing w:val="-3"/>
        </w:rPr>
        <w:tab/>
      </w:r>
      <w:r>
        <w:rPr>
          <w:spacing w:val="-3"/>
        </w:rPr>
        <w:t>Aunque en los siguientes casos se mostrarán una serie de conflictos, a veces violentos, entre afrodescendientes e indígenas, mediados por el consumo de bebidas embriagantes, quiero dejar por sentado que no se debe exagerar las valoraciones negativas; pues al fin de cuentas, se trata de una parte de la vida cotidiana que sólo podemos conocer mediante el documento escrito y a través de los ojos de la autoridad colonial;  como se expresa el subdelegado de Tiripetío.</w:t>
      </w:r>
      <w:r>
        <w:rPr>
          <w:rStyle w:val="5"/>
          <w:spacing w:val="-3"/>
        </w:rPr>
        <w:footnoteReference w:id="52"/>
      </w:r>
      <w:r>
        <w:rPr>
          <w:spacing w:val="-3"/>
        </w:rPr>
        <w:t xml:space="preserve"> </w:t>
      </w:r>
    </w:p>
    <w:p>
      <w:pPr>
        <w:tabs>
          <w:tab w:val="left" w:pos="-720"/>
        </w:tabs>
        <w:jc w:val="both"/>
        <w:rPr>
          <w:spacing w:val="-3"/>
        </w:rPr>
      </w:pPr>
    </w:p>
    <w:p>
      <w:pPr>
        <w:tabs>
          <w:tab w:val="left" w:pos="-720"/>
        </w:tabs>
        <w:ind w:left="461" w:leftChars="192" w:right="616" w:firstLine="16" w:firstLineChars="9"/>
        <w:jc w:val="both"/>
        <w:rPr>
          <w:spacing w:val="-11"/>
          <w:sz w:val="20"/>
          <w:szCs w:val="20"/>
        </w:rPr>
      </w:pPr>
      <w:r>
        <w:rPr>
          <w:spacing w:val="-11"/>
          <w:sz w:val="20"/>
          <w:szCs w:val="20"/>
        </w:rPr>
        <w:t xml:space="preserve">… el pueblo de Acuitzio por lo mismo de que es grande, esta poseído de todos los vicios; de manera que no se encuentran en él más que estupros, amancebamientos, adulterios, incestos, robos, heridores y embriagueces, de todo lo cual </w:t>
      </w:r>
      <w:r>
        <w:rPr>
          <w:b/>
          <w:spacing w:val="-11"/>
          <w:sz w:val="20"/>
          <w:szCs w:val="20"/>
        </w:rPr>
        <w:t>se trata como asuntos de indios en lo verbal, sin que procesa presentaciones de escritos</w:t>
      </w:r>
      <w:r>
        <w:rPr>
          <w:spacing w:val="-11"/>
          <w:sz w:val="20"/>
          <w:szCs w:val="20"/>
        </w:rPr>
        <w:t>, como no los hay en los juicios ordinarios de tierras, y otros aunque sean dificultosos.</w:t>
      </w:r>
      <w:r>
        <w:rPr>
          <w:rStyle w:val="5"/>
          <w:spacing w:val="-11"/>
          <w:sz w:val="20"/>
          <w:szCs w:val="20"/>
        </w:rPr>
        <w:footnoteReference w:id="53"/>
      </w:r>
    </w:p>
    <w:p>
      <w:pPr>
        <w:tabs>
          <w:tab w:val="left" w:pos="-720"/>
        </w:tabs>
        <w:jc w:val="both"/>
        <w:rPr>
          <w:spacing w:val="-3"/>
        </w:rPr>
      </w:pPr>
    </w:p>
    <w:p>
      <w:pPr>
        <w:tabs>
          <w:tab w:val="left" w:pos="-720"/>
        </w:tabs>
        <w:jc w:val="both"/>
        <w:rPr>
          <w:spacing w:val="-3"/>
        </w:rPr>
      </w:pPr>
      <w:r>
        <w:rPr>
          <w:spacing w:val="-3"/>
        </w:rPr>
        <w:tab/>
      </w:r>
      <w:r>
        <w:rPr>
          <w:spacing w:val="-3"/>
        </w:rPr>
        <w:t>La oralidad de la impartición de justicia, en el nivel local, nos dejó sólo unos cuantos casos por escrito; así, que nuestro conocimiento de la vida cotidiana pueblerina no es cabal, ni podría ser completo. Es por ello que los ejemplos de buena vecindad, entre afrodescendientes e indígenas, son más difíciles de encontrar; sin embargo, existen algunos. Pongamos, por ejemplo, el del mulato libre Nicolás Rivera, barbero, viudo, de 65 años “maestro de doctrina avecindado en Comachuen”, quien enseña a los niños la doctrina en su casa y atestigua a favor de Diego Nicolás, indio del pueblo, preso por haber peleado con su consuegra, la cual murió de “tabardillo” y al que se le acusa injustamente de su muerte.</w:t>
      </w:r>
      <w:r>
        <w:rPr>
          <w:rStyle w:val="5"/>
          <w:spacing w:val="-3"/>
        </w:rPr>
        <w:footnoteReference w:id="54"/>
      </w:r>
      <w:r>
        <w:rPr>
          <w:spacing w:val="-3"/>
        </w:rPr>
        <w:t xml:space="preserve"> Siempre será más difícil encontrar la buena vecindad en los archivos, pero, no por ello, debemos suponer a priori a la violencia como una constante.</w:t>
      </w:r>
    </w:p>
    <w:p>
      <w:pPr>
        <w:pStyle w:val="13"/>
        <w:spacing w:after="0"/>
        <w:jc w:val="both"/>
        <w:rPr>
          <w:spacing w:val="-3"/>
        </w:rPr>
      </w:pPr>
    </w:p>
    <w:p>
      <w:pPr>
        <w:tabs>
          <w:tab w:val="left" w:pos="-720"/>
        </w:tabs>
        <w:jc w:val="both"/>
        <w:rPr>
          <w:smallCaps/>
          <w:spacing w:val="-3"/>
        </w:rPr>
      </w:pPr>
      <w:r>
        <w:rPr>
          <w:smallCaps/>
          <w:spacing w:val="-3"/>
        </w:rPr>
        <w:t>…Con las botijas de vino al hombro</w:t>
      </w:r>
    </w:p>
    <w:p>
      <w:pPr>
        <w:tabs>
          <w:tab w:val="left" w:pos="-720"/>
        </w:tabs>
        <w:jc w:val="both"/>
        <w:rPr>
          <w:spacing w:val="-3"/>
        </w:rPr>
      </w:pPr>
    </w:p>
    <w:p>
      <w:pPr>
        <w:tabs>
          <w:tab w:val="left" w:pos="-720"/>
        </w:tabs>
        <w:jc w:val="both"/>
        <w:rPr>
          <w:spacing w:val="-3"/>
          <w:sz w:val="20"/>
          <w:szCs w:val="20"/>
        </w:rPr>
      </w:pPr>
      <w:r>
        <w:rPr>
          <w:spacing w:val="-3"/>
          <w:sz w:val="20"/>
          <w:szCs w:val="20"/>
        </w:rPr>
        <w:t>La vida de los borrachos</w:t>
      </w:r>
    </w:p>
    <w:p>
      <w:pPr>
        <w:tabs>
          <w:tab w:val="left" w:pos="-720"/>
        </w:tabs>
        <w:jc w:val="both"/>
        <w:rPr>
          <w:spacing w:val="-3"/>
          <w:sz w:val="20"/>
          <w:szCs w:val="20"/>
        </w:rPr>
      </w:pPr>
      <w:r>
        <w:rPr>
          <w:spacing w:val="-3"/>
          <w:sz w:val="20"/>
          <w:szCs w:val="20"/>
        </w:rPr>
        <w:t>es una vida muy sana</w:t>
      </w:r>
    </w:p>
    <w:p>
      <w:pPr>
        <w:tabs>
          <w:tab w:val="left" w:pos="-720"/>
        </w:tabs>
        <w:jc w:val="both"/>
        <w:rPr>
          <w:spacing w:val="-3"/>
          <w:sz w:val="20"/>
          <w:szCs w:val="20"/>
        </w:rPr>
      </w:pPr>
      <w:r>
        <w:rPr>
          <w:spacing w:val="-3"/>
          <w:sz w:val="20"/>
          <w:szCs w:val="20"/>
        </w:rPr>
        <w:t xml:space="preserve">comienza por el domingo, </w:t>
      </w:r>
    </w:p>
    <w:p>
      <w:pPr>
        <w:tabs>
          <w:tab w:val="left" w:pos="-720"/>
        </w:tabs>
        <w:jc w:val="both"/>
        <w:rPr>
          <w:spacing w:val="-3"/>
          <w:sz w:val="20"/>
          <w:szCs w:val="20"/>
        </w:rPr>
      </w:pPr>
      <w:r>
        <w:rPr>
          <w:spacing w:val="-3"/>
          <w:sz w:val="20"/>
          <w:szCs w:val="20"/>
        </w:rPr>
        <w:t>y acaba con la semana.</w:t>
      </w:r>
    </w:p>
    <w:p>
      <w:pPr>
        <w:tabs>
          <w:tab w:val="left" w:pos="-720"/>
        </w:tabs>
        <w:jc w:val="both"/>
        <w:rPr>
          <w:rFonts w:ascii="Agency FB" w:hAnsi="Agency FB"/>
          <w:spacing w:val="-3"/>
          <w:sz w:val="20"/>
          <w:szCs w:val="20"/>
        </w:rPr>
      </w:pPr>
      <w:r>
        <w:rPr>
          <w:rFonts w:ascii="Agency FB" w:hAnsi="Agency FB"/>
          <w:spacing w:val="-3"/>
          <w:sz w:val="20"/>
          <w:szCs w:val="20"/>
        </w:rPr>
        <w:t>(El borracho, son terracalenteño)</w:t>
      </w:r>
    </w:p>
    <w:p>
      <w:pPr>
        <w:tabs>
          <w:tab w:val="left" w:pos="-720"/>
        </w:tabs>
        <w:jc w:val="both"/>
        <w:rPr>
          <w:spacing w:val="-3"/>
        </w:rPr>
      </w:pPr>
    </w:p>
    <w:p>
      <w:pPr>
        <w:tabs>
          <w:tab w:val="left" w:pos="-720"/>
        </w:tabs>
        <w:jc w:val="both"/>
        <w:rPr>
          <w:spacing w:val="-3"/>
        </w:rPr>
      </w:pPr>
      <w:r>
        <w:rPr>
          <w:spacing w:val="-3"/>
        </w:rPr>
        <w:t>Dice irónicamente el son; pero era un verdadero infierno para la esposa y la familia del alcohólico, baste, para darnos cuenta, el testimonio de María Guadalupe Balcázar,  20 años, española, oriunda de Chucándiro, casada con Joseph Antonio de Ochoa, 30 años, de Valladolid, un borracho que la maltrataba continuamente y que no había trabajado los últimos 7 años.</w:t>
      </w:r>
    </w:p>
    <w:p>
      <w:pPr>
        <w:tabs>
          <w:tab w:val="left" w:pos="-720"/>
        </w:tabs>
        <w:jc w:val="both"/>
        <w:rPr>
          <w:spacing w:val="-3"/>
        </w:rPr>
      </w:pPr>
    </w:p>
    <w:p>
      <w:pPr>
        <w:tabs>
          <w:tab w:val="left" w:pos="-720"/>
        </w:tabs>
        <w:ind w:left="461" w:leftChars="192" w:right="583" w:rightChars="0" w:firstLine="17" w:firstLineChars="9"/>
        <w:jc w:val="both"/>
        <w:rPr>
          <w:spacing w:val="-3"/>
          <w:sz w:val="20"/>
          <w:szCs w:val="20"/>
        </w:rPr>
      </w:pPr>
      <w:r>
        <w:rPr>
          <w:spacing w:val="-3"/>
          <w:sz w:val="20"/>
          <w:szCs w:val="20"/>
        </w:rPr>
        <w:t>…que a son casados. La ha andado trayendo de tierra e tierra, las más veces a pie, muerta de hambre, y en cueros, hasta dejarle una hija en Valladolid, descarriada. Que las tierras que se acuerda haber andado son la ciudad de Guadalajara, Guanajuato, Querétaro, Celaya, San Miguel El Grande, Pátzcuaro, Otatan y Tacámbaro; que en este pueblo, a más de hacer lo mismo, que en los nominados de embriagarse siempre que conseguía algún medio o encontraba algún amigo que le diera de beber, de golpearla, a putiarla, y amenazarla de muerte, cogió dicho su marido y lo sacó de casa de una mujer con quien trataba, llamada Teresa, de estado casada.</w:t>
      </w:r>
      <w:r>
        <w:rPr>
          <w:rStyle w:val="5"/>
          <w:spacing w:val="-3"/>
          <w:sz w:val="20"/>
          <w:szCs w:val="20"/>
        </w:rPr>
        <w:footnoteReference w:id="55"/>
      </w:r>
    </w:p>
    <w:p>
      <w:pPr>
        <w:tabs>
          <w:tab w:val="left" w:pos="-720"/>
        </w:tabs>
        <w:jc w:val="both"/>
        <w:rPr>
          <w:spacing w:val="-3"/>
        </w:rPr>
      </w:pPr>
    </w:p>
    <w:p>
      <w:pPr>
        <w:tabs>
          <w:tab w:val="left" w:pos="-720"/>
        </w:tabs>
        <w:jc w:val="both"/>
        <w:rPr>
          <w:spacing w:val="-3"/>
        </w:rPr>
      </w:pPr>
      <w:r>
        <w:rPr>
          <w:spacing w:val="-3"/>
        </w:rPr>
        <w:t>Esa fue la razón por la que el Juez Ecleciástico de Valladolid lo desterrara de Tacámbaro, pues:</w:t>
      </w:r>
    </w:p>
    <w:p>
      <w:pPr>
        <w:tabs>
          <w:tab w:val="left" w:pos="-720"/>
        </w:tabs>
        <w:jc w:val="both"/>
        <w:rPr>
          <w:spacing w:val="-3"/>
        </w:rPr>
      </w:pPr>
    </w:p>
    <w:p>
      <w:pPr>
        <w:tabs>
          <w:tab w:val="left" w:pos="-720"/>
        </w:tabs>
        <w:ind w:left="480" w:leftChars="0" w:right="583" w:rightChars="0" w:firstLine="0" w:firstLineChars="0"/>
        <w:jc w:val="both"/>
        <w:rPr>
          <w:spacing w:val="-3"/>
          <w:sz w:val="20"/>
          <w:szCs w:val="20"/>
        </w:rPr>
      </w:pPr>
      <w:r>
        <w:rPr>
          <w:spacing w:val="-3"/>
          <w:sz w:val="20"/>
          <w:szCs w:val="20"/>
        </w:rPr>
        <w:t xml:space="preserve"> …tenía ilícita amistad con otra mujer llamada Theresa, la China, de cuya casa no salía por ser el trato de la mujer el Vender chinguirito, y así pasaba dos y cuatro días sin venir a su casa por estar ebrio.</w:t>
      </w:r>
      <w:r>
        <w:rPr>
          <w:rStyle w:val="5"/>
          <w:spacing w:val="-3"/>
          <w:sz w:val="20"/>
          <w:szCs w:val="20"/>
        </w:rPr>
        <w:footnoteReference w:id="56"/>
      </w:r>
    </w:p>
    <w:p>
      <w:pPr>
        <w:tabs>
          <w:tab w:val="left" w:pos="-720"/>
        </w:tabs>
        <w:jc w:val="both"/>
        <w:rPr>
          <w:spacing w:val="-3"/>
        </w:rPr>
      </w:pPr>
    </w:p>
    <w:p>
      <w:pPr>
        <w:tabs>
          <w:tab w:val="left" w:pos="-720"/>
        </w:tabs>
        <w:jc w:val="both"/>
        <w:rPr>
          <w:spacing w:val="-3"/>
        </w:rPr>
      </w:pPr>
      <w:r>
        <w:rPr>
          <w:spacing w:val="-3"/>
        </w:rPr>
        <w:t>La abnegada mujer lo seguía en su vida vagabunda, durmiendo en cementerios y en las cárceles a dónde lo mandaban purgar sus penas por ebrio consuetudinario, como en ése momento, en que estaba en Uruapan.</w:t>
      </w:r>
    </w:p>
    <w:p>
      <w:pPr>
        <w:tabs>
          <w:tab w:val="left" w:pos="-720"/>
        </w:tabs>
        <w:jc w:val="both"/>
        <w:rPr>
          <w:spacing w:val="-3"/>
        </w:rPr>
      </w:pPr>
      <w:r>
        <w:rPr>
          <w:spacing w:val="-3"/>
        </w:rPr>
        <w:tab/>
      </w:r>
      <w:r>
        <w:rPr>
          <w:spacing w:val="-3"/>
        </w:rPr>
        <w:t>La embriaguez pública, sobre todo durante las fiestas religiosas, era tolerada por las autoridades, tal vez porque las licencias y los sobornos para expender bebidas o evitar la cárcel, les era redituable. Además, en muchos pueblos de indios era una forma ritual incuestionable para sus habitantes.</w:t>
      </w:r>
    </w:p>
    <w:p>
      <w:pPr>
        <w:tabs>
          <w:tab w:val="left" w:pos="-720"/>
        </w:tabs>
        <w:jc w:val="both"/>
        <w:rPr>
          <w:spacing w:val="-3"/>
        </w:rPr>
      </w:pPr>
    </w:p>
    <w:p>
      <w:pPr>
        <w:tabs>
          <w:tab w:val="left" w:pos="-720"/>
        </w:tabs>
        <w:ind w:left="480" w:leftChars="0" w:right="583" w:rightChars="0" w:firstLine="0" w:firstLineChars="0"/>
        <w:jc w:val="both"/>
        <w:rPr>
          <w:spacing w:val="-3"/>
          <w:sz w:val="20"/>
          <w:szCs w:val="20"/>
        </w:rPr>
      </w:pPr>
      <w:r>
        <w:rPr>
          <w:spacing w:val="-3"/>
          <w:sz w:val="20"/>
          <w:szCs w:val="20"/>
        </w:rPr>
        <w:t xml:space="preserve">[Los indios de Cherán] …como le consta a toda esta jurisdicción, son en extremo viciosos en todo, muy altaneros, e inobedientes, principalmente los viejos que por sus fines particulares, como, y que son los peores, son los que cubren a los demás todos sus maldades, dándoles con esto margen a que se insolenten más allí, en Cherán. Día con día no les faltan costumbres de las que ellos llaman </w:t>
      </w:r>
      <w:r>
        <w:rPr>
          <w:i/>
          <w:spacing w:val="-3"/>
          <w:sz w:val="20"/>
          <w:szCs w:val="20"/>
        </w:rPr>
        <w:t>Pindecuas</w:t>
      </w:r>
      <w:r>
        <w:rPr>
          <w:spacing w:val="-3"/>
          <w:sz w:val="20"/>
          <w:szCs w:val="20"/>
        </w:rPr>
        <w:t xml:space="preserve"> y en dichos días andan los hombres y mujeres públicamente por las calles con las Botijas de vino al hombro y bebiendo de que (como se deja ver) resultan precisamente, horror de inconsecuencias, pleitos, escándalos y por consiguiente, innumerables ofensas a Dios Nuestro Señor. Allí los hijos golpean y arrastran de los cabellos a sus padres, allí se versa ilícitamente el hermano con la hermana, el cuñado con la cuñada, el yerno con la suegra, el suegro con la nuera, el padrastro con la entenada, y también hacen cambio los maridos de sus mujeres, y a este modo, otras mil iniquidades, sin reparar en estados, sexos, ni parentesco, y d</w:t>
      </w:r>
      <w:r>
        <w:rPr>
          <w:spacing w:val="-3"/>
          <w:sz w:val="20"/>
          <w:szCs w:val="20"/>
          <w:lang w:val="es-MX"/>
        </w:rPr>
        <w:t>a</w:t>
      </w:r>
      <w:r>
        <w:rPr>
          <w:spacing w:val="-3"/>
          <w:sz w:val="20"/>
          <w:szCs w:val="20"/>
        </w:rPr>
        <w:t>do esto públicamente, como que me han llegado a mí las querellas y denuncias secretas, por medio de los mismos agraviados; pero a nada he podido poner remedio a causa de que es el mayor imposible poder conseguir a ninguno de cuantos llamo por diligencias y arbitrios de que me valgo, y el motivo es que el mismo Alcalde y los Viejos, como quiera que también se hallan ligados, a más de que los sobornan de vino, son los que los defienden cubriéndolos con la frívola disculpa de que andan de viaje, y nunca se verifica vuelvan de él. Allí, en fin, dejando por ahora otras cosas, por no molestar más la respetable atención de V. S.</w:t>
      </w:r>
      <w:r>
        <w:rPr>
          <w:rStyle w:val="5"/>
          <w:spacing w:val="-3"/>
          <w:sz w:val="20"/>
          <w:szCs w:val="20"/>
        </w:rPr>
        <w:footnoteReference w:id="57"/>
      </w:r>
    </w:p>
    <w:p>
      <w:pPr>
        <w:tabs>
          <w:tab w:val="left" w:pos="-720"/>
        </w:tabs>
        <w:jc w:val="both"/>
        <w:rPr>
          <w:spacing w:val="-3"/>
        </w:rPr>
      </w:pPr>
    </w:p>
    <w:p>
      <w:pPr>
        <w:tabs>
          <w:tab w:val="left" w:pos="-720"/>
        </w:tabs>
        <w:jc w:val="both"/>
        <w:rPr>
          <w:spacing w:val="-3"/>
        </w:rPr>
      </w:pPr>
      <w:r>
        <w:rPr>
          <w:spacing w:val="-3"/>
        </w:rPr>
        <w:tab/>
      </w:r>
      <w:r>
        <w:rPr>
          <w:spacing w:val="-3"/>
        </w:rPr>
        <w:t xml:space="preserve">Tal vez Ignacio Treviño exagera; sin embargo, es claro que el consumo de alcohol durante las fiestas era notorio en los pueblos de indios, y que éste debió de salir de algún lugar, ya traído de contrabando de los trapiches de Taretan, o las vinatas de las laderas del Tancítaro, o bien, fabricado a partir del pulque en el mismo pueblo. </w:t>
      </w:r>
    </w:p>
    <w:p>
      <w:pPr>
        <w:tabs>
          <w:tab w:val="left" w:pos="-720"/>
        </w:tabs>
        <w:jc w:val="both"/>
        <w:rPr>
          <w:spacing w:val="-3"/>
        </w:rPr>
      </w:pPr>
      <w:r>
        <w:rPr>
          <w:spacing w:val="-3"/>
        </w:rPr>
        <w:tab/>
      </w:r>
      <w:r>
        <w:rPr>
          <w:spacing w:val="-3"/>
        </w:rPr>
        <w:t>Prueba de que lo anterior sucedía que Ramón Diego, quien había ocupado el puesto de alcalde, y muy cercano al cura del pueblo:</w:t>
      </w:r>
    </w:p>
    <w:p>
      <w:pPr>
        <w:tabs>
          <w:tab w:val="left" w:pos="-720"/>
        </w:tabs>
        <w:jc w:val="both"/>
        <w:rPr>
          <w:spacing w:val="-3"/>
        </w:rPr>
      </w:pPr>
    </w:p>
    <w:p>
      <w:pPr>
        <w:tabs>
          <w:tab w:val="left" w:pos="-720"/>
        </w:tabs>
        <w:ind w:left="476" w:leftChars="192" w:right="581" w:rightChars="242" w:hanging="15" w:hangingChars="8"/>
        <w:jc w:val="both"/>
        <w:rPr>
          <w:spacing w:val="-3"/>
          <w:sz w:val="20"/>
          <w:szCs w:val="20"/>
        </w:rPr>
      </w:pPr>
      <w:r>
        <w:rPr>
          <w:spacing w:val="-3"/>
          <w:sz w:val="20"/>
          <w:szCs w:val="20"/>
        </w:rPr>
        <w:t>Notoriamente fabrica, y vende con frecuencia, y abundancia vino de salvado.</w:t>
      </w:r>
      <w:r>
        <w:rPr>
          <w:rStyle w:val="5"/>
          <w:spacing w:val="-3"/>
          <w:sz w:val="20"/>
          <w:szCs w:val="20"/>
        </w:rPr>
        <w:footnoteReference w:id="58"/>
      </w:r>
    </w:p>
    <w:p>
      <w:pPr>
        <w:tabs>
          <w:tab w:val="left" w:pos="-720"/>
        </w:tabs>
        <w:jc w:val="both"/>
        <w:rPr>
          <w:spacing w:val="-3"/>
        </w:rPr>
      </w:pPr>
    </w:p>
    <w:p>
      <w:pPr>
        <w:tabs>
          <w:tab w:val="left" w:pos="-720"/>
        </w:tabs>
        <w:jc w:val="both"/>
        <w:rPr>
          <w:spacing w:val="-3"/>
        </w:rPr>
      </w:pPr>
      <w:r>
        <w:rPr>
          <w:spacing w:val="-3"/>
        </w:rPr>
        <w:t>Lo que nos revela la complicidad entre autoridades civiles y eclesiásticas en el nivel local, así como las disputas por el control del gobierno indígena, pues las autoridades de la república quieren evitar que Ramón Diego saliera electo en la elección que se realizaba al iniciar el año.</w:t>
      </w:r>
      <w:r>
        <w:rPr>
          <w:rStyle w:val="5"/>
          <w:spacing w:val="-3"/>
        </w:rPr>
        <w:t xml:space="preserve"> </w:t>
      </w:r>
      <w:r>
        <w:rPr>
          <w:rStyle w:val="5"/>
          <w:spacing w:val="-3"/>
        </w:rPr>
        <w:footnoteReference w:id="59"/>
      </w:r>
    </w:p>
    <w:p>
      <w:pPr>
        <w:tabs>
          <w:tab w:val="left" w:pos="-720"/>
        </w:tabs>
        <w:jc w:val="both"/>
        <w:rPr>
          <w:spacing w:val="-3"/>
        </w:rPr>
      </w:pPr>
      <w:r>
        <w:rPr>
          <w:spacing w:val="-3"/>
        </w:rPr>
        <w:tab/>
      </w:r>
      <w:r>
        <w:rPr>
          <w:spacing w:val="-3"/>
        </w:rPr>
        <w:t>Los pueblos de la Sierra no eran los únicos en usar las bebidas prohibidas profusamente durante las fiestas, en Acuitzio, un lugar tan próximo a Valladolid, residencia de los poderes civiles y eclesiásticos, a principios ya del siglo XIX se consumían incluso desafiando la autoridad del subdelegado de pueblo.</w:t>
      </w:r>
    </w:p>
    <w:p>
      <w:pPr>
        <w:tabs>
          <w:tab w:val="left" w:pos="-720"/>
        </w:tabs>
        <w:jc w:val="both"/>
        <w:rPr>
          <w:spacing w:val="-3"/>
        </w:rPr>
      </w:pPr>
    </w:p>
    <w:p>
      <w:pPr>
        <w:tabs>
          <w:tab w:val="left" w:pos="-720"/>
        </w:tabs>
        <w:ind w:left="480" w:leftChars="0" w:right="583" w:rightChars="0" w:firstLine="0" w:firstLineChars="0"/>
        <w:jc w:val="both"/>
        <w:rPr>
          <w:spacing w:val="-3"/>
          <w:sz w:val="20"/>
          <w:szCs w:val="20"/>
        </w:rPr>
      </w:pPr>
      <w:r>
        <w:rPr>
          <w:spacing w:val="-3"/>
          <w:sz w:val="20"/>
          <w:szCs w:val="20"/>
        </w:rPr>
        <w:t>…rara es la casa donde no se vende la bebida de Charape, que no hay Fiesta, o Junta, donde no se hagan comidas abundantes, y de sobra de bebida, y como yo he procurado remediar todo esto, encerrando borrachos y tomando otras providencias, de aquí es el que no lleven a bien mi vida en su pueblo.</w:t>
      </w:r>
      <w:r>
        <w:rPr>
          <w:rStyle w:val="5"/>
          <w:spacing w:val="-3"/>
          <w:sz w:val="20"/>
          <w:szCs w:val="20"/>
        </w:rPr>
        <w:footnoteReference w:id="60"/>
      </w:r>
    </w:p>
    <w:p>
      <w:pPr>
        <w:tabs>
          <w:tab w:val="left" w:pos="-720"/>
        </w:tabs>
        <w:jc w:val="both"/>
        <w:rPr>
          <w:spacing w:val="-3"/>
        </w:rPr>
      </w:pPr>
    </w:p>
    <w:p>
      <w:pPr>
        <w:tabs>
          <w:tab w:val="left" w:pos="-720"/>
        </w:tabs>
        <w:jc w:val="both"/>
        <w:rPr>
          <w:spacing w:val="-3"/>
        </w:rPr>
      </w:pPr>
      <w:r>
        <w:rPr>
          <w:spacing w:val="-3"/>
        </w:rPr>
        <w:tab/>
      </w:r>
      <w:r>
        <w:rPr>
          <w:spacing w:val="-3"/>
        </w:rPr>
        <w:t>En algunos pueblos las continuas borracheras incluso impedían la celebración de los servicios religiosos, como sucedió en Ahuiran. Los principales e indios viejos del pueblo se quejan del maltrato que reciben de su cura, el bachiller Manuel Carranza:</w:t>
      </w:r>
    </w:p>
    <w:p>
      <w:pPr>
        <w:tabs>
          <w:tab w:val="left" w:pos="-720"/>
        </w:tabs>
        <w:jc w:val="both"/>
        <w:rPr>
          <w:spacing w:val="-3"/>
        </w:rPr>
      </w:pPr>
    </w:p>
    <w:p>
      <w:pPr>
        <w:tabs>
          <w:tab w:val="left" w:pos="-720"/>
        </w:tabs>
        <w:ind w:left="476" w:leftChars="192" w:right="583" w:rightChars="0" w:hanging="15" w:hangingChars="8"/>
        <w:jc w:val="both"/>
        <w:rPr>
          <w:spacing w:val="-3"/>
          <w:sz w:val="20"/>
          <w:szCs w:val="20"/>
        </w:rPr>
      </w:pPr>
      <w:r>
        <w:rPr>
          <w:spacing w:val="-3"/>
          <w:sz w:val="20"/>
          <w:szCs w:val="20"/>
        </w:rPr>
        <w:t>…que el segundo día de función de nuestro santo titular, al escribano de nuestra república, que lo es Francisco Guipe, porque se turbó cantando en la misa, por ser cantor, el señor cura lo mandó amarrar en un pilar en el que le dieron muchos azotes y lo entregó a la justicia interna...</w:t>
      </w:r>
      <w:r>
        <w:rPr>
          <w:rStyle w:val="5"/>
          <w:spacing w:val="-3"/>
          <w:sz w:val="20"/>
          <w:szCs w:val="20"/>
        </w:rPr>
        <w:footnoteReference w:id="61"/>
      </w:r>
    </w:p>
    <w:p>
      <w:pPr>
        <w:tabs>
          <w:tab w:val="left" w:pos="-720"/>
        </w:tabs>
        <w:jc w:val="both"/>
        <w:rPr>
          <w:spacing w:val="-3"/>
        </w:rPr>
      </w:pPr>
    </w:p>
    <w:p>
      <w:pPr>
        <w:tabs>
          <w:tab w:val="left" w:pos="-720"/>
        </w:tabs>
        <w:jc w:val="both"/>
        <w:rPr>
          <w:spacing w:val="-3"/>
        </w:rPr>
      </w:pPr>
      <w:r>
        <w:rPr>
          <w:spacing w:val="-3"/>
        </w:rPr>
        <w:tab/>
      </w:r>
      <w:r>
        <w:rPr>
          <w:spacing w:val="-3"/>
        </w:rPr>
        <w:t>El aludido responde al Capitán don Juan Ignacio Román, subdelegado de Paracho:</w:t>
      </w:r>
    </w:p>
    <w:p>
      <w:pPr>
        <w:tabs>
          <w:tab w:val="left" w:pos="-720"/>
        </w:tabs>
        <w:jc w:val="both"/>
        <w:rPr>
          <w:spacing w:val="-3"/>
        </w:rPr>
      </w:pPr>
    </w:p>
    <w:p>
      <w:pPr>
        <w:tabs>
          <w:tab w:val="left" w:pos="-720"/>
        </w:tabs>
        <w:ind w:left="461" w:leftChars="192" w:right="583" w:rightChars="0" w:firstLine="17" w:firstLineChars="9"/>
        <w:jc w:val="both"/>
        <w:rPr>
          <w:spacing w:val="-3"/>
          <w:sz w:val="20"/>
          <w:szCs w:val="20"/>
        </w:rPr>
      </w:pPr>
      <w:r>
        <w:rPr>
          <w:spacing w:val="-3"/>
          <w:sz w:val="20"/>
          <w:szCs w:val="20"/>
        </w:rPr>
        <w:t>…llegando para hacer la fiesta titular me he encontrado una suma corrupción en los hijos de él [pueblo], a causa de la mucha embriaguez, y el fin principal, que es dar a Dios culto, no puede verificarlo, pues para los divinos oficios que hoy  se habían de hacer con la Iglesia, no se han hallado ni los cantores ni sacristanes en aptitud de poder servir sus cargos. Ayer, en fuerza del respeto de Vuestra con su personalidad, en este pueblo se contuvieron algo en la borrachera; pero hoy esta esto tan insolentado y escandaloso que temo una mala resulta...</w:t>
      </w:r>
      <w:r>
        <w:rPr>
          <w:rStyle w:val="5"/>
          <w:spacing w:val="-3"/>
          <w:sz w:val="20"/>
          <w:szCs w:val="20"/>
        </w:rPr>
        <w:footnoteReference w:id="62"/>
      </w:r>
    </w:p>
    <w:p>
      <w:pPr>
        <w:tabs>
          <w:tab w:val="left" w:pos="-720"/>
        </w:tabs>
        <w:jc w:val="both"/>
        <w:rPr>
          <w:spacing w:val="-3"/>
        </w:rPr>
      </w:pPr>
    </w:p>
    <w:p>
      <w:pPr>
        <w:tabs>
          <w:tab w:val="left" w:pos="-720"/>
        </w:tabs>
        <w:jc w:val="both"/>
        <w:rPr>
          <w:spacing w:val="-3"/>
        </w:rPr>
      </w:pPr>
      <w:r>
        <w:rPr>
          <w:spacing w:val="-3"/>
        </w:rPr>
        <w:t>La carta era para mandar llamar a las autoridades civiles, necesitaba que contuvieran a la masa indígena que, indignada y violenta, lo insulta. Teme por su vida.</w:t>
      </w:r>
    </w:p>
    <w:p>
      <w:pPr>
        <w:tabs>
          <w:tab w:val="left" w:pos="-720"/>
        </w:tabs>
        <w:jc w:val="both"/>
        <w:rPr>
          <w:spacing w:val="-3"/>
        </w:rPr>
      </w:pPr>
      <w:r>
        <w:rPr>
          <w:spacing w:val="-3"/>
        </w:rPr>
        <w:tab/>
      </w:r>
      <w:r>
        <w:rPr>
          <w:spacing w:val="-3"/>
        </w:rPr>
        <w:t>Entre algunos sacerdotes la preocupación por el alcoholismo de los indígenas fue sincera, al grado de ser considerado “el primero mal” de la Provincia, y una de las causa para la disminución de la población en el siglo XVII, debido a las enfermedades y riñas que provocaba, pues:</w:t>
      </w:r>
    </w:p>
    <w:p>
      <w:pPr>
        <w:pStyle w:val="13"/>
        <w:spacing w:after="0"/>
        <w:jc w:val="both"/>
        <w:rPr>
          <w:spacing w:val="-3"/>
        </w:rPr>
      </w:pPr>
    </w:p>
    <w:p>
      <w:pPr>
        <w:pStyle w:val="13"/>
        <w:spacing w:after="0"/>
        <w:ind w:left="476" w:leftChars="192" w:right="583" w:rightChars="0" w:hanging="15" w:hangingChars="8"/>
        <w:jc w:val="both"/>
        <w:rPr>
          <w:spacing w:val="-3"/>
          <w:sz w:val="20"/>
          <w:szCs w:val="20"/>
        </w:rPr>
      </w:pPr>
      <w:r>
        <w:rPr>
          <w:spacing w:val="-3"/>
          <w:sz w:val="20"/>
          <w:szCs w:val="20"/>
        </w:rPr>
        <w:t>… se dispone una bebida fortísima, y que encoleriza y embravece de manera que el indio más vil, cobarde y afeminado embestirá como un toro…</w:t>
      </w:r>
      <w:r>
        <w:rPr>
          <w:rStyle w:val="5"/>
          <w:spacing w:val="-3"/>
          <w:sz w:val="20"/>
          <w:szCs w:val="20"/>
        </w:rPr>
        <w:footnoteReference w:id="63"/>
      </w:r>
    </w:p>
    <w:p>
      <w:pPr>
        <w:tabs>
          <w:tab w:val="left" w:pos="-720"/>
        </w:tabs>
        <w:jc w:val="both"/>
        <w:rPr>
          <w:spacing w:val="-3"/>
        </w:rPr>
      </w:pPr>
    </w:p>
    <w:p>
      <w:pPr>
        <w:tabs>
          <w:tab w:val="left" w:pos="-720"/>
        </w:tabs>
        <w:jc w:val="both"/>
        <w:rPr>
          <w:spacing w:val="-3"/>
        </w:rPr>
      </w:pPr>
      <w:r>
        <w:rPr>
          <w:spacing w:val="-3"/>
        </w:rPr>
        <w:tab/>
      </w:r>
      <w:r>
        <w:rPr>
          <w:spacing w:val="-3"/>
        </w:rPr>
        <w:t>Los argumentos para prohibir las bebidas alcohólicas se nutren de la visión ilustrada de salud y moralidad; por ello, aquellas bebidas blancas o de colores definidos, como el vino rojo que es “la sangre de Cristo”, son preferidas sobre aquellas que tienen colores oscuros o aspectos turbios, como la mayoría de los curados y destilados una sola vez. La conducta de quienes beben en exceso se ve alterada en el freno moral que sujeta sus impulsos, es por ello que, piensan las autoridades deben prohibirse; sin embargo, las bebidas alcohólicas son un importante ramo en las economías: locales, regionales y del virreinato. Además, y de manera paradójica, en una sociedad desigual y en continuo descontento, la élite teme constantemente el “levantamiento” de los indios y las castas, por ello, alentar el consumo de bebidas alcohólicas socaba al individuo y evita el malestar social del grupo; prueba de lo anterior es que los levantamientos de los castas y los indios por el reclutamiento en 1766 no se dio un día de fiesta con borrachera generalizada.</w:t>
      </w:r>
      <w:r>
        <w:rPr>
          <w:rStyle w:val="5"/>
          <w:spacing w:val="-3"/>
        </w:rPr>
        <w:footnoteReference w:id="64"/>
      </w:r>
    </w:p>
    <w:p>
      <w:pPr>
        <w:tabs>
          <w:tab w:val="left" w:pos="-720"/>
        </w:tabs>
        <w:jc w:val="both"/>
        <w:rPr>
          <w:spacing w:val="-3"/>
        </w:rPr>
      </w:pPr>
    </w:p>
    <w:p>
      <w:pPr>
        <w:pStyle w:val="13"/>
        <w:spacing w:after="0"/>
        <w:rPr>
          <w:smallCaps/>
        </w:rPr>
      </w:pPr>
      <w:r>
        <w:rPr>
          <w:smallCaps/>
        </w:rPr>
        <w:t>…no tenía más oficio que ser tepachera</w:t>
      </w:r>
    </w:p>
    <w:p>
      <w:pPr>
        <w:tabs>
          <w:tab w:val="left" w:pos="-720"/>
        </w:tabs>
        <w:jc w:val="both"/>
        <w:rPr>
          <w:spacing w:val="-3"/>
        </w:rPr>
      </w:pPr>
    </w:p>
    <w:p>
      <w:pPr>
        <w:tabs>
          <w:tab w:val="left" w:pos="-720"/>
        </w:tabs>
        <w:jc w:val="both"/>
        <w:rPr>
          <w:spacing w:val="-3"/>
          <w:sz w:val="20"/>
          <w:szCs w:val="20"/>
        </w:rPr>
      </w:pPr>
      <w:r>
        <w:rPr>
          <w:spacing w:val="-3"/>
          <w:sz w:val="20"/>
          <w:szCs w:val="20"/>
        </w:rPr>
        <w:t>Ya no quiero ser borracho,</w:t>
      </w:r>
    </w:p>
    <w:p>
      <w:pPr>
        <w:tabs>
          <w:tab w:val="left" w:pos="-720"/>
        </w:tabs>
        <w:jc w:val="both"/>
        <w:rPr>
          <w:spacing w:val="-3"/>
          <w:sz w:val="20"/>
          <w:szCs w:val="20"/>
        </w:rPr>
      </w:pPr>
      <w:r>
        <w:rPr>
          <w:spacing w:val="-3"/>
          <w:sz w:val="20"/>
          <w:szCs w:val="20"/>
        </w:rPr>
        <w:t>ya quiero cambiar de vida.</w:t>
      </w:r>
    </w:p>
    <w:p>
      <w:pPr>
        <w:tabs>
          <w:tab w:val="left" w:pos="-720"/>
        </w:tabs>
        <w:jc w:val="both"/>
        <w:rPr>
          <w:spacing w:val="-3"/>
          <w:sz w:val="20"/>
          <w:szCs w:val="20"/>
        </w:rPr>
      </w:pPr>
      <w:r>
        <w:rPr>
          <w:spacing w:val="-3"/>
          <w:sz w:val="20"/>
          <w:szCs w:val="20"/>
        </w:rPr>
        <w:t>Ya no bebo en chiquihuite</w:t>
      </w:r>
    </w:p>
    <w:p>
      <w:pPr>
        <w:tabs>
          <w:tab w:val="left" w:pos="-720"/>
        </w:tabs>
        <w:jc w:val="both"/>
        <w:rPr>
          <w:spacing w:val="-3"/>
          <w:sz w:val="20"/>
          <w:szCs w:val="20"/>
        </w:rPr>
      </w:pPr>
      <w:r>
        <w:rPr>
          <w:spacing w:val="-3"/>
          <w:sz w:val="20"/>
          <w:szCs w:val="20"/>
        </w:rPr>
        <w:t>porque todo se me tira.</w:t>
      </w:r>
    </w:p>
    <w:p>
      <w:pPr>
        <w:tabs>
          <w:tab w:val="left" w:pos="-720"/>
        </w:tabs>
        <w:jc w:val="both"/>
        <w:rPr>
          <w:rFonts w:ascii="Agency FB" w:hAnsi="Agency FB"/>
          <w:spacing w:val="-3"/>
          <w:sz w:val="20"/>
          <w:szCs w:val="20"/>
        </w:rPr>
      </w:pPr>
      <w:r>
        <w:rPr>
          <w:rFonts w:ascii="Agency FB" w:hAnsi="Agency FB"/>
          <w:spacing w:val="-3"/>
          <w:sz w:val="20"/>
          <w:szCs w:val="20"/>
        </w:rPr>
        <w:t>(El borracho, son terracalenteño)</w:t>
      </w:r>
    </w:p>
    <w:p>
      <w:pPr>
        <w:tabs>
          <w:tab w:val="left" w:pos="-720"/>
        </w:tabs>
        <w:jc w:val="both"/>
        <w:rPr>
          <w:spacing w:val="-3"/>
        </w:rPr>
      </w:pPr>
    </w:p>
    <w:p>
      <w:pPr>
        <w:tabs>
          <w:tab w:val="left" w:pos="-720"/>
        </w:tabs>
        <w:jc w:val="both"/>
        <w:rPr>
          <w:spacing w:val="-3"/>
        </w:rPr>
      </w:pPr>
      <w:r>
        <w:rPr>
          <w:spacing w:val="-3"/>
        </w:rPr>
        <w:t>Iniciamos nuestra argumentación por mostrar un panorama somero de las bebidas prohibidas en el ámbito urbano; luego mostramos que existían familias de afrodescendientes viviendo en los pueblos indígenas; en seguida, mostramos que la bebida formaba parte de la vida ritual y lúdica de las comunidades indígenas; ahora es necesario entender cómo es que se daba el consumo de alcohol en la zona rural, en el interior de las pequeñas comunidades indígenas que no eran ni homogéneas en lo político, ni en lo económico y mucho menos en lo étnico.</w:t>
      </w:r>
    </w:p>
    <w:p>
      <w:pPr>
        <w:tabs>
          <w:tab w:val="left" w:pos="-720"/>
        </w:tabs>
        <w:jc w:val="both"/>
        <w:rPr>
          <w:spacing w:val="-3"/>
        </w:rPr>
      </w:pPr>
      <w:r>
        <w:rPr>
          <w:spacing w:val="-3"/>
        </w:rPr>
        <w:tab/>
      </w:r>
      <w:r>
        <w:rPr>
          <w:spacing w:val="-3"/>
        </w:rPr>
        <w:t xml:space="preserve"> Es evidente que las autoridades coloniales podrían ejercer mejor sus actividades de regulación y control en las ciudades y villas del centro de la Nueva España; pues la cercanía con la capital del virreinato ejercía sobre las autoridades locales una presión continua para obtener resultados favorables a las políticas de la Corona. Es de suponer que si en una ciudad pequeña, como Valladolid, pudieron ocultarse alambiques y cantinas a la supervisión de las autoridades, en el campo, en los pequeños “pueblos de indios” y ranchos independientes de las haciendas, la vigilancia sobre la fabricación, expendio y consumo de alcohol fuera más laxa.</w:t>
      </w:r>
    </w:p>
    <w:p>
      <w:pPr>
        <w:pStyle w:val="13"/>
        <w:spacing w:after="0"/>
        <w:ind w:left="1418" w:right="900"/>
        <w:jc w:val="both"/>
        <w:rPr>
          <w:spacing w:val="-3"/>
        </w:rPr>
      </w:pPr>
    </w:p>
    <w:p>
      <w:pPr>
        <w:pStyle w:val="13"/>
        <w:spacing w:after="0"/>
        <w:ind w:left="480" w:leftChars="0" w:right="583" w:rightChars="0" w:firstLine="0" w:firstLineChars="0"/>
        <w:jc w:val="both"/>
        <w:rPr>
          <w:spacing w:val="-3"/>
          <w:sz w:val="20"/>
          <w:szCs w:val="20"/>
        </w:rPr>
      </w:pPr>
      <w:r>
        <w:rPr>
          <w:spacing w:val="-3"/>
        </w:rPr>
        <w:t>…</w:t>
      </w:r>
      <w:r>
        <w:rPr>
          <w:spacing w:val="-3"/>
          <w:sz w:val="20"/>
          <w:szCs w:val="20"/>
        </w:rPr>
        <w:t>.y los hacen ellos [los brebajes alcohólicos] con toda publicidad y desembarazo, sin recelo alguno ni recato en sus pueblos, en las calles, en los patios de sus casas, a los ojos de cuantos pasan y los  ven, o asisten en ellos. Con  unos pinzotes majan en canoas las cañas de maíz, traen en sus mulas las mieles de los trapiches e ingenios de hacer azúcar de uno y otro o de cada cosa; ponen alambiques y destilan agua ardiente y le añaden raíces que conocen. Lo mismo hacen de los panales, y del mezcal, del maíz, del trigo, de las frutas dulces de la tierra y de castilla, con cien mil mezclas de ingredientes que componen bebidas venenosísimas y que los corrompen…</w:t>
      </w:r>
      <w:r>
        <w:rPr>
          <w:rStyle w:val="5"/>
          <w:spacing w:val="-3"/>
          <w:sz w:val="20"/>
          <w:szCs w:val="20"/>
        </w:rPr>
        <w:footnoteReference w:id="65"/>
      </w:r>
    </w:p>
    <w:p>
      <w:pPr>
        <w:pStyle w:val="13"/>
        <w:spacing w:after="0"/>
        <w:jc w:val="both"/>
        <w:rPr>
          <w:spacing w:val="-3"/>
        </w:rPr>
      </w:pPr>
    </w:p>
    <w:p>
      <w:pPr>
        <w:tabs>
          <w:tab w:val="left" w:pos="-720"/>
        </w:tabs>
        <w:jc w:val="both"/>
        <w:rPr>
          <w:spacing w:val="-3"/>
        </w:rPr>
      </w:pPr>
      <w:r>
        <w:rPr>
          <w:spacing w:val="-3"/>
        </w:rPr>
        <w:tab/>
      </w:r>
      <w:r>
        <w:rPr>
          <w:spacing w:val="-3"/>
        </w:rPr>
        <w:t>Los productos y el consumo de bebidas embriagantes estaba claramente diferenciado: los alcoholes, que necesitan de procesos industriales y equipo costoso, no estaba en manos de los indígenas, sino de los rancheros mestizos y mulatos, que fabricaban mezcales utilizando para ello los magueyales que, de manera casi “natural”, crecen en las laderas de los cerros y en los terrenos de pedreguera, o malpaíses.</w:t>
      </w:r>
      <w:r>
        <w:rPr>
          <w:rStyle w:val="5"/>
          <w:spacing w:val="-3"/>
        </w:rPr>
        <w:footnoteReference w:id="66"/>
      </w:r>
      <w:r>
        <w:rPr>
          <w:spacing w:val="-3"/>
        </w:rPr>
        <w:t xml:space="preserve"> </w:t>
      </w:r>
    </w:p>
    <w:p>
      <w:pPr>
        <w:tabs>
          <w:tab w:val="left" w:pos="-720"/>
        </w:tabs>
        <w:jc w:val="both"/>
        <w:rPr>
          <w:spacing w:val="-3"/>
        </w:rPr>
      </w:pPr>
      <w:r>
        <w:rPr>
          <w:spacing w:val="-3"/>
        </w:rPr>
        <w:tab/>
      </w:r>
      <w:r>
        <w:rPr>
          <w:spacing w:val="-3"/>
        </w:rPr>
        <w:t>Un ejemplo puede ser el de José Antonio Pedrosa:</w:t>
      </w:r>
    </w:p>
    <w:p>
      <w:pPr>
        <w:tabs>
          <w:tab w:val="left" w:pos="-720"/>
        </w:tabs>
        <w:jc w:val="both"/>
        <w:rPr>
          <w:spacing w:val="-3"/>
        </w:rPr>
      </w:pPr>
    </w:p>
    <w:p>
      <w:pPr>
        <w:tabs>
          <w:tab w:val="left" w:pos="-720"/>
        </w:tabs>
        <w:ind w:left="480" w:leftChars="0" w:right="583" w:rightChars="0" w:firstLine="0" w:firstLineChars="0"/>
        <w:jc w:val="both"/>
        <w:rPr>
          <w:spacing w:val="-3"/>
          <w:sz w:val="20"/>
          <w:szCs w:val="20"/>
        </w:rPr>
      </w:pPr>
      <w:r>
        <w:rPr>
          <w:spacing w:val="-3"/>
          <w:sz w:val="20"/>
          <w:szCs w:val="20"/>
        </w:rPr>
        <w:t xml:space="preserve"> …que reside en tierras de los indios de Atapan, inmediato a Tzirapo de oficio aguardientero.</w:t>
      </w:r>
      <w:r>
        <w:rPr>
          <w:rStyle w:val="5"/>
          <w:spacing w:val="-3"/>
          <w:sz w:val="20"/>
          <w:szCs w:val="20"/>
        </w:rPr>
        <w:footnoteReference w:id="67"/>
      </w:r>
    </w:p>
    <w:p>
      <w:pPr>
        <w:tabs>
          <w:tab w:val="left" w:pos="-720"/>
        </w:tabs>
        <w:jc w:val="both"/>
        <w:rPr>
          <w:spacing w:val="-3"/>
        </w:rPr>
      </w:pPr>
    </w:p>
    <w:p>
      <w:pPr>
        <w:tabs>
          <w:tab w:val="left" w:pos="-720"/>
        </w:tabs>
        <w:jc w:val="both"/>
        <w:rPr>
          <w:spacing w:val="-11"/>
        </w:rPr>
      </w:pPr>
      <w:r>
        <w:rPr>
          <w:spacing w:val="-11"/>
        </w:rPr>
        <w:t>Quien fue matriculado como tributario, en la cuenta de mulatos vagos, de la jurisdicción de Jiquilpan, y alega, junto con otros rancheros, ser “español”. Se trata de un productor de aguardiente que reside en las laderas del Tancítaro, una de las regiones donde, hasta la actualidad, se sigue produciendo buen mezcal.</w:t>
      </w:r>
      <w:r>
        <w:rPr>
          <w:rStyle w:val="5"/>
          <w:spacing w:val="-11"/>
        </w:rPr>
        <w:footnoteReference w:id="68"/>
      </w:r>
    </w:p>
    <w:p>
      <w:pPr>
        <w:tabs>
          <w:tab w:val="left" w:pos="-720"/>
        </w:tabs>
        <w:jc w:val="both"/>
        <w:rPr>
          <w:spacing w:val="-3"/>
        </w:rPr>
      </w:pPr>
      <w:r>
        <w:rPr>
          <w:spacing w:val="-3"/>
        </w:rPr>
        <w:tab/>
      </w:r>
      <w:r>
        <w:rPr>
          <w:spacing w:val="-3"/>
        </w:rPr>
        <w:t>Otro aguardentero vivía en el real de minas de Curucupaceo; se trata de Joseph Joaquin Bandola, mulato, de 40 años de edad, quien vendía charape, a decir de los vecinos, el cual era fabricado por su esposa María Luziana, de calidad india, todos los días de fiesta. Para evitar que lo requisasen las autoridades, Bandola, lo tenía escondido en una olla entre zacates en el patio de su propiedad, lo cual se supo:</w:t>
      </w:r>
    </w:p>
    <w:p>
      <w:pPr>
        <w:tabs>
          <w:tab w:val="left" w:pos="-720"/>
        </w:tabs>
        <w:jc w:val="both"/>
        <w:rPr>
          <w:spacing w:val="-3"/>
        </w:rPr>
      </w:pPr>
    </w:p>
    <w:p>
      <w:pPr>
        <w:tabs>
          <w:tab w:val="left" w:pos="-720"/>
        </w:tabs>
        <w:ind w:left="461" w:leftChars="192" w:right="583" w:rightChars="0" w:firstLine="17" w:firstLineChars="9"/>
        <w:jc w:val="both"/>
        <w:rPr>
          <w:spacing w:val="-3"/>
          <w:sz w:val="20"/>
          <w:szCs w:val="20"/>
        </w:rPr>
      </w:pPr>
      <w:r>
        <w:rPr>
          <w:spacing w:val="-3"/>
          <w:sz w:val="20"/>
          <w:szCs w:val="20"/>
        </w:rPr>
        <w:t>…por la mucha gente que entraba en la referida casa de Bandola a beber los días de fiesta.</w:t>
      </w:r>
      <w:r>
        <w:rPr>
          <w:rStyle w:val="5"/>
          <w:spacing w:val="-3"/>
          <w:sz w:val="20"/>
          <w:szCs w:val="20"/>
        </w:rPr>
        <w:footnoteReference w:id="69"/>
      </w:r>
    </w:p>
    <w:p>
      <w:pPr>
        <w:tabs>
          <w:tab w:val="left" w:pos="-720"/>
        </w:tabs>
        <w:jc w:val="both"/>
        <w:rPr>
          <w:spacing w:val="-3"/>
        </w:rPr>
      </w:pPr>
    </w:p>
    <w:p>
      <w:pPr>
        <w:tabs>
          <w:tab w:val="left" w:pos="-720"/>
        </w:tabs>
        <w:jc w:val="both"/>
        <w:rPr>
          <w:spacing w:val="-3"/>
        </w:rPr>
      </w:pPr>
      <w:r>
        <w:rPr>
          <w:spacing w:val="-3"/>
        </w:rPr>
        <w:t>La excusa de la esposa es que “le dijo su marido Bandola que pusiese charape por estas malo del estómago”, pues se supone a la bebida como excelente para “asentar” el estómago; lo cual no deja de extrañarnos, puesto que se compone por bacterias, sin embargo, formaba parte de la farmacopea casera.</w:t>
      </w:r>
    </w:p>
    <w:p>
      <w:pPr>
        <w:tabs>
          <w:tab w:val="left" w:pos="-720"/>
        </w:tabs>
        <w:jc w:val="both"/>
        <w:rPr>
          <w:spacing w:val="-3"/>
        </w:rPr>
      </w:pPr>
      <w:r>
        <w:rPr>
          <w:spacing w:val="-3"/>
        </w:rPr>
        <w:tab/>
      </w:r>
      <w:r>
        <w:rPr>
          <w:spacing w:val="-3"/>
        </w:rPr>
        <w:t>A diferencia del aguardiente, producido por hombres, son las mujeres, y sobre todo, las afrodescendientes, o las que estaban casados con éstos, quienes usualmente fabricaban bebidas fermentadas a partir del pulque, “curándolo”, o bien derivadas de la piña, como el tepache.</w:t>
      </w:r>
      <w:r>
        <w:rPr>
          <w:rStyle w:val="5"/>
          <w:spacing w:val="-3"/>
        </w:rPr>
        <w:footnoteReference w:id="70"/>
      </w:r>
      <w:r>
        <w:rPr>
          <w:spacing w:val="-3"/>
        </w:rPr>
        <w:t xml:space="preserve"> Entre los “curados” que tenían mayor aceptación en el pasado estaba el Charape, que se elabora a partir de la incorporación de azúcar, jugo y cáscaras de piña al aguamiel, lo cual lo “fortalece”; es decir, eleva la gradación alcohólica mediante la transformación de los azúcares en alcohol. Curar el pulque no requiere de mayores aditamentos tecnológicos ni necesita de energía suplementaria, como la quema de madera para el proceso de destilación. Además, el producto se constituye a partir de algunos utensilios domésticos para realizar el proceso de fermentación, de algunos elementos que, por separado, no estaban prohibidos: pulque blanco, piña, miel o panocha; los cuales reunidos en una olla de barro y, con un poco de calor, elevan la gradación alcohólica del pulque en poco tiempo, por lo que se podía ocultar la producción de la bebida a las autoridades, aunque no los efectos de la ingesta alcohólica.</w:t>
      </w:r>
    </w:p>
    <w:p>
      <w:pPr>
        <w:tabs>
          <w:tab w:val="left" w:pos="-720"/>
        </w:tabs>
        <w:jc w:val="both"/>
        <w:rPr>
          <w:spacing w:val="-3"/>
        </w:rPr>
      </w:pPr>
      <w:r>
        <w:rPr>
          <w:spacing w:val="-3"/>
        </w:rPr>
        <w:tab/>
      </w:r>
      <w:r>
        <w:rPr>
          <w:spacing w:val="-3"/>
        </w:rPr>
        <w:t>En algunos pueblos de indios,  ubicados en posiciones geográficas de ventaja, como Uruapan, se establecieron rápidamente algunas familias de españoles y afrodescendientes, lo que trajo continuamente disputas con las autoridades locales indígenas, quienes aplicaban la prohibición de residencia en los pueblos de indios a los no indios de manera arbitraria. En 1625 se acusó a una mestiza casada, Isabel Mendoza, de estar involucrada en la muerte de un indígena del pueblo, motivo por el cual el gobernador de Uruapan mandó expulsarla y desterrarla de dicho pueblo a “sonido  de trompeta y voz de pregonero”.</w:t>
      </w:r>
      <w:r>
        <w:rPr>
          <w:rStyle w:val="5"/>
          <w:spacing w:val="-3"/>
        </w:rPr>
        <w:footnoteReference w:id="71"/>
      </w:r>
      <w:r>
        <w:rPr>
          <w:spacing w:val="-3"/>
        </w:rPr>
        <w:t xml:space="preserve"> El pleito de fondo era la elección de los oficiales de república del cabildo indígena, aunque la razón esgrimida era que:</w:t>
      </w:r>
    </w:p>
    <w:p>
      <w:pPr>
        <w:tabs>
          <w:tab w:val="left" w:pos="-720"/>
        </w:tabs>
        <w:jc w:val="both"/>
        <w:rPr>
          <w:spacing w:val="-3"/>
        </w:rPr>
      </w:pPr>
    </w:p>
    <w:p>
      <w:pPr>
        <w:tabs>
          <w:tab w:val="left" w:pos="-720"/>
        </w:tabs>
        <w:ind w:left="480" w:leftChars="0" w:right="583" w:rightChars="0" w:firstLine="0" w:firstLineChars="0"/>
        <w:jc w:val="both"/>
        <w:rPr>
          <w:spacing w:val="-3"/>
          <w:sz w:val="20"/>
          <w:szCs w:val="20"/>
        </w:rPr>
      </w:pPr>
      <w:r>
        <w:rPr>
          <w:spacing w:val="-3"/>
          <w:sz w:val="20"/>
          <w:szCs w:val="20"/>
        </w:rPr>
        <w:t>…había sido causa de dicha muerte porque no tenía más oficio que ser tepachera, de que resultaban muchas borracheras y muerte.</w:t>
      </w:r>
      <w:r>
        <w:rPr>
          <w:rStyle w:val="5"/>
          <w:spacing w:val="-3"/>
          <w:sz w:val="20"/>
          <w:szCs w:val="20"/>
        </w:rPr>
        <w:footnoteReference w:id="72"/>
      </w:r>
    </w:p>
    <w:p>
      <w:pPr>
        <w:tabs>
          <w:tab w:val="left" w:pos="-720"/>
        </w:tabs>
        <w:jc w:val="both"/>
        <w:rPr>
          <w:spacing w:val="-3"/>
        </w:rPr>
      </w:pPr>
    </w:p>
    <w:p>
      <w:pPr>
        <w:tabs>
          <w:tab w:val="left" w:pos="-720"/>
        </w:tabs>
        <w:jc w:val="both"/>
        <w:rPr>
          <w:spacing w:val="-3"/>
        </w:rPr>
      </w:pPr>
      <w:r>
        <w:rPr>
          <w:spacing w:val="-3"/>
        </w:rPr>
        <w:tab/>
      </w:r>
      <w:r>
        <w:rPr>
          <w:spacing w:val="-3"/>
        </w:rPr>
        <w:t>No era la única, un año después un español, Diego de la Quadra fue expulsado por vender miel negra, vino destilado (probablemente aguardiente) y tepache a los indígenas del pueblo; pero, además, estaban acusados varios españoles, como “Gonzalo de Sandoval, Juana Ruiz su madre, y Domingo Bejarano, españoles y mulatos del pueblo”, quienes:</w:t>
      </w:r>
    </w:p>
    <w:p>
      <w:pPr>
        <w:tabs>
          <w:tab w:val="left" w:pos="-720"/>
        </w:tabs>
        <w:jc w:val="both"/>
        <w:rPr>
          <w:spacing w:val="-3"/>
        </w:rPr>
      </w:pPr>
    </w:p>
    <w:p>
      <w:pPr>
        <w:tabs>
          <w:tab w:val="left" w:pos="-720"/>
        </w:tabs>
        <w:ind w:left="461" w:leftChars="192" w:right="583" w:rightChars="0" w:firstLine="17" w:firstLineChars="9"/>
        <w:jc w:val="both"/>
        <w:rPr>
          <w:spacing w:val="-3"/>
          <w:sz w:val="20"/>
          <w:szCs w:val="20"/>
        </w:rPr>
      </w:pPr>
      <w:r>
        <w:rPr>
          <w:spacing w:val="-3"/>
          <w:sz w:val="20"/>
          <w:szCs w:val="20"/>
        </w:rPr>
        <w:t>…hacen y venden a los naturales del dicho pueblo tepache, miel ligera de caña y vino destilado contraviniendo las ordenanzas y con estas bebidas enferman muchos naturales y se van muriendo.</w:t>
      </w:r>
      <w:r>
        <w:rPr>
          <w:rStyle w:val="5"/>
          <w:spacing w:val="-3"/>
          <w:sz w:val="20"/>
          <w:szCs w:val="20"/>
        </w:rPr>
        <w:footnoteReference w:id="73"/>
      </w:r>
    </w:p>
    <w:p>
      <w:pPr>
        <w:tabs>
          <w:tab w:val="left" w:pos="-720"/>
        </w:tabs>
        <w:jc w:val="both"/>
        <w:rPr>
          <w:spacing w:val="-3"/>
        </w:rPr>
      </w:pPr>
    </w:p>
    <w:p>
      <w:pPr>
        <w:tabs>
          <w:tab w:val="left" w:pos="-720"/>
        </w:tabs>
        <w:jc w:val="both"/>
        <w:rPr>
          <w:spacing w:val="-3"/>
        </w:rPr>
      </w:pPr>
      <w:r>
        <w:rPr>
          <w:spacing w:val="-3"/>
        </w:rPr>
        <w:tab/>
      </w:r>
      <w:r>
        <w:rPr>
          <w:spacing w:val="-3"/>
        </w:rPr>
        <w:t>No obstante que violentaban dos ordenanzas reales: la de residencia en pueblo de indios y la de producción y venta de bebidas prohibidas,  no se cumplió la expulsión y para 1636 continuaban viviendo en Uruapan. A la familia Sandoval se le acusaba entonces de causar varios daños a la comunidad:</w:t>
      </w:r>
    </w:p>
    <w:p>
      <w:pPr>
        <w:tabs>
          <w:tab w:val="left" w:pos="-720"/>
        </w:tabs>
        <w:jc w:val="both"/>
        <w:rPr>
          <w:spacing w:val="-3"/>
        </w:rPr>
      </w:pPr>
    </w:p>
    <w:p>
      <w:pPr>
        <w:tabs>
          <w:tab w:val="left" w:pos="-720"/>
        </w:tabs>
        <w:ind w:left="480" w:leftChars="0" w:right="616" w:firstLine="0" w:firstLineChars="0"/>
        <w:jc w:val="both"/>
        <w:rPr>
          <w:spacing w:val="-3"/>
          <w:sz w:val="20"/>
          <w:szCs w:val="20"/>
        </w:rPr>
      </w:pPr>
      <w:r>
        <w:rPr>
          <w:spacing w:val="-3"/>
          <w:sz w:val="20"/>
          <w:szCs w:val="20"/>
        </w:rPr>
        <w:t>…como el vender brebajes de vino y pulque, vendiéndolo públicamente en su casa y emborrachan a los naturales, los cuales muchas veces salen de la dicha casa desnudos de sus ropas y privados de sus sentidos.</w:t>
      </w:r>
      <w:r>
        <w:rPr>
          <w:rStyle w:val="5"/>
          <w:spacing w:val="-3"/>
          <w:sz w:val="20"/>
          <w:szCs w:val="20"/>
        </w:rPr>
        <w:footnoteReference w:id="74"/>
      </w:r>
    </w:p>
    <w:p>
      <w:pPr>
        <w:tabs>
          <w:tab w:val="left" w:pos="-720"/>
        </w:tabs>
        <w:jc w:val="both"/>
        <w:rPr>
          <w:spacing w:val="-3"/>
        </w:rPr>
      </w:pPr>
    </w:p>
    <w:p>
      <w:pPr>
        <w:tabs>
          <w:tab w:val="left" w:pos="-720"/>
        </w:tabs>
        <w:jc w:val="both"/>
        <w:rPr>
          <w:spacing w:val="-3"/>
        </w:rPr>
      </w:pPr>
      <w:r>
        <w:rPr>
          <w:spacing w:val="-3"/>
        </w:rPr>
        <w:t xml:space="preserve">Esta familia, junto con  otras seis más de individuos “de razón”, era continuamente atacada por las autoridades indígenas de san Francisco Uruapan para intentar expulsarlos, lo que no ocurrió, por la intervención solapada, por el teniente de alcalde mayor, que tenían en el gobierno del pueblo. La defensa de la “gente de razón”, establecida en Uruapan, se dio también en torno a las bebidas prohibidas y en términos muy semejantes, pues se intentó desestimar las acusaciones a través de la imputación de embriaguez continua a las autoridades, que: </w:t>
      </w:r>
    </w:p>
    <w:p>
      <w:pPr>
        <w:tabs>
          <w:tab w:val="left" w:pos="-720"/>
        </w:tabs>
        <w:jc w:val="both"/>
        <w:rPr>
          <w:spacing w:val="-3"/>
        </w:rPr>
      </w:pPr>
    </w:p>
    <w:p>
      <w:pPr>
        <w:tabs>
          <w:tab w:val="left" w:pos="-720"/>
        </w:tabs>
        <w:ind w:left="476" w:leftChars="192" w:right="583" w:rightChars="0" w:hanging="15" w:hangingChars="8"/>
        <w:jc w:val="both"/>
        <w:rPr>
          <w:spacing w:val="-3"/>
          <w:sz w:val="20"/>
          <w:szCs w:val="20"/>
        </w:rPr>
      </w:pPr>
      <w:r>
        <w:rPr>
          <w:spacing w:val="-3"/>
          <w:sz w:val="20"/>
          <w:szCs w:val="20"/>
        </w:rPr>
        <w:t>…de ordinario andan borrachos y en muchas ocasiones los ha visto tendidos, entre los platanales y calles de este pueblo, borrachos sin sentido.</w:t>
      </w:r>
      <w:r>
        <w:rPr>
          <w:rStyle w:val="5"/>
          <w:spacing w:val="-3"/>
          <w:sz w:val="20"/>
          <w:szCs w:val="20"/>
        </w:rPr>
        <w:footnoteReference w:id="75"/>
      </w:r>
    </w:p>
    <w:p>
      <w:pPr>
        <w:tabs>
          <w:tab w:val="left" w:pos="-720"/>
        </w:tabs>
        <w:jc w:val="both"/>
        <w:rPr>
          <w:spacing w:val="-3"/>
        </w:rPr>
      </w:pPr>
    </w:p>
    <w:p>
      <w:pPr>
        <w:tabs>
          <w:tab w:val="left" w:pos="-720"/>
        </w:tabs>
        <w:jc w:val="both"/>
        <w:rPr>
          <w:spacing w:val="-3"/>
        </w:rPr>
      </w:pPr>
      <w:r>
        <w:rPr>
          <w:spacing w:val="-3"/>
        </w:rPr>
        <w:t>O bien, a los testigos presentados por el cabildo indígena:</w:t>
      </w:r>
    </w:p>
    <w:p>
      <w:pPr>
        <w:tabs>
          <w:tab w:val="left" w:pos="-720"/>
        </w:tabs>
        <w:jc w:val="both"/>
        <w:rPr>
          <w:spacing w:val="-3"/>
        </w:rPr>
      </w:pPr>
    </w:p>
    <w:p>
      <w:pPr>
        <w:tabs>
          <w:tab w:val="left" w:pos="-720"/>
        </w:tabs>
        <w:ind w:left="480" w:leftChars="0" w:right="616" w:firstLine="0" w:firstLineChars="0"/>
        <w:jc w:val="both"/>
        <w:rPr>
          <w:spacing w:val="-3"/>
          <w:sz w:val="20"/>
          <w:szCs w:val="20"/>
        </w:rPr>
      </w:pPr>
      <w:r>
        <w:rPr>
          <w:spacing w:val="-3"/>
          <w:sz w:val="20"/>
          <w:szCs w:val="20"/>
        </w:rPr>
        <w:t>…que los indios de este pueblos son borrachos y algunas veces han causado escándalos en este pueblo con susodichos que son falsos y mentirosos y así tiene este testigo por creerlo, mintieron en lo que dijeron.</w:t>
      </w:r>
      <w:r>
        <w:rPr>
          <w:rStyle w:val="5"/>
          <w:spacing w:val="-3"/>
          <w:sz w:val="20"/>
          <w:szCs w:val="20"/>
        </w:rPr>
        <w:footnoteReference w:id="76"/>
      </w:r>
    </w:p>
    <w:p>
      <w:pPr>
        <w:tabs>
          <w:tab w:val="left" w:pos="-720"/>
        </w:tabs>
        <w:jc w:val="both"/>
        <w:rPr>
          <w:spacing w:val="-3"/>
        </w:rPr>
      </w:pPr>
    </w:p>
    <w:p>
      <w:pPr>
        <w:tabs>
          <w:tab w:val="left" w:pos="-720"/>
        </w:tabs>
        <w:jc w:val="both"/>
        <w:rPr>
          <w:spacing w:val="-3"/>
        </w:rPr>
      </w:pPr>
      <w:r>
        <w:rPr>
          <w:spacing w:val="-3"/>
        </w:rPr>
        <w:tab/>
      </w:r>
      <w:r>
        <w:rPr>
          <w:spacing w:val="-3"/>
        </w:rPr>
        <w:t>Aunque las razones de las desavenencias entre indígenas y no indígenas residentes en Uruapan no son las que originan las denuncias por la fabricación y consumo de bebidas alcohólicas no podemos desestimar la información completamente, pues cuando el río suena, agua lleva. Es claro que las familias de los hacendados de la Tierra Caliente, avecindados en el pueblo grande de Uruapan, como los Izazaga o los Vaca Coronel, establecían tiendas para poder vender sus productos y algunos de otras regiones, entre cuyas mercaderías estaban los vinos y pulques; parece ser un patrón recurrente la Nueva España el que estos “tenderos” utilizaran las bebidas embriagantes para conseguir algunas ventajas en la compra venta de bienes muebles e inmuebles y servicios, sobre todo trabajo. No sería raro entonces que las acusaciones de las autoridades locales tuvieran un dejo de realidad y que servirán para acercarnos a localidades indígenas de menor tamaño y jerarquía, donde el patrón de explotación, a través de alcoholizar a la población, se repetía; si bien estuvo prohibido “pagar” con bebidas embriagantes desde 1609, la práctica era común en el orbe hispano y continúa hasta nuestros días.</w:t>
      </w:r>
      <w:r>
        <w:rPr>
          <w:rStyle w:val="5"/>
          <w:spacing w:val="-3"/>
        </w:rPr>
        <w:footnoteReference w:id="77"/>
      </w:r>
    </w:p>
    <w:p>
      <w:pPr>
        <w:tabs>
          <w:tab w:val="left" w:pos="-720"/>
        </w:tabs>
        <w:jc w:val="both"/>
        <w:rPr>
          <w:spacing w:val="-3"/>
        </w:rPr>
      </w:pPr>
    </w:p>
    <w:p>
      <w:pPr>
        <w:tabs>
          <w:tab w:val="left" w:pos="-720"/>
        </w:tabs>
        <w:jc w:val="both"/>
        <w:rPr>
          <w:smallCaps/>
          <w:spacing w:val="-3"/>
        </w:rPr>
      </w:pPr>
      <w:r>
        <w:rPr>
          <w:smallCaps/>
          <w:spacing w:val="-3"/>
        </w:rPr>
        <w:t>Lo que en el rico es “alegría”, en el pobre es “borrachera”</w:t>
      </w:r>
    </w:p>
    <w:p>
      <w:pPr>
        <w:tabs>
          <w:tab w:val="left" w:pos="-720"/>
        </w:tabs>
        <w:jc w:val="both"/>
        <w:rPr>
          <w:spacing w:val="-3"/>
        </w:rPr>
      </w:pPr>
    </w:p>
    <w:p>
      <w:pPr>
        <w:tabs>
          <w:tab w:val="left" w:pos="-720"/>
        </w:tabs>
        <w:jc w:val="both"/>
        <w:rPr>
          <w:spacing w:val="-3"/>
        </w:rPr>
      </w:pPr>
      <w:r>
        <w:rPr>
          <w:spacing w:val="-3"/>
        </w:rPr>
        <w:t xml:space="preserve">En el Michoacán colonial la producción, circulación y consumo de las bebidas alcohólicas tuvieron una serie de papeles paradójicos. Por un lado, en el nivel individual, proveían, a quienes las usaban, de una alteración de los sentidos que, hasta cierto punto, era agradable y por ello ampliamente buscada; su abuso, en entre los sujetos que las consumían traía la pérdida de la estabilidad y los convertía en parias, incluso entre los marginales de la sociedad novohispana. En el nivel comunitario y familiar, la bebida era un medio ritual, que permitía la socialización entre los participantes en una fiesta y facilitaba la convivencia, incluso entre los desiguales; con ello se debilitaba la segregación y se fomentaba las relaciones interétnicas positivas; el abuso en el nivel comunitario, a veces, desembocaba en la insolencia de los grupos no hegemónicos frente a sus autoridades religiosas y civiles controladas por la élite y el Estado colonial. </w:t>
      </w:r>
    </w:p>
    <w:p>
      <w:pPr>
        <w:tabs>
          <w:tab w:val="left" w:pos="-720"/>
        </w:tabs>
        <w:jc w:val="both"/>
        <w:rPr>
          <w:spacing w:val="-3"/>
        </w:rPr>
      </w:pPr>
      <w:r>
        <w:rPr>
          <w:spacing w:val="-3"/>
        </w:rPr>
        <w:tab/>
      </w:r>
      <w:r>
        <w:rPr>
          <w:spacing w:val="-3"/>
        </w:rPr>
        <w:t>La producción de bebidas alcohólicas se incrementó conforme fue aumentando su consumo, sobre todo cuando técnicas nuevas, como la destilación, se introdujeron en el nivel local y con ella se desarrollaron licores regionales. La prohibición aceleró la inventiva de la población michoacana, así surgieron numerosas bebidas basadas en la fermentación, en la destilación e incluso híbridos, algunas con base en la tradición mesoamericana como el pulque, en la asiática, de las Filipinas, como la tuba y el vino de coco, o de la tradición árabe, como los alcoholes de caña. El desarrollo de mezcales, charandas y charape fue temprano; constituyendo con ellos una de las aristas de la cocina michoacana.</w:t>
      </w:r>
    </w:p>
    <w:p>
      <w:pPr>
        <w:pStyle w:val="13"/>
        <w:spacing w:after="0"/>
        <w:jc w:val="both"/>
      </w:pPr>
      <w:r>
        <w:tab/>
      </w:r>
      <w:r>
        <w:t>La administración colonial primero toleró la producción y consumo de bebidas alcohólicas; luego, la demanda amplia y el precio bajo de los licores regionales disminuyó el consumo de vinos, caldos y aguardiente españoles, lo que motivó a la corona el declarar la prohibición; sin embargo, en algunas regiones la producción fue tolerada, sobre todo aquella de carácter agroindustrial en manos de la élite hispana, lo que dejó a los pequeños productores al margen de la ley, en la ilegalidad y el contrabando. En los casos revisados podemos ver que la prohibición no fue eficaz, por el contrario, alentó la corrupción de las autoridades y encerró a pequeños expendedores que no tenían otra forma de obtener recursos, sobre todo mujeres, ancianos y hombres con limitaciones físicas.</w:t>
      </w:r>
      <w:r>
        <w:rPr>
          <w:rStyle w:val="5"/>
        </w:rPr>
        <w:footnoteReference w:id="78"/>
      </w:r>
    </w:p>
    <w:p>
      <w:pPr>
        <w:pStyle w:val="13"/>
        <w:spacing w:after="0"/>
        <w:jc w:val="both"/>
      </w:pPr>
      <w:r>
        <w:tab/>
      </w:r>
      <w:r>
        <w:t>El uso de bebidas alcohólicas y la embriaguez fueron también argumentos de carácter moral, para discriminar a las personas y devaluar sus testimonios, sin importar si fuera cierta la práctica o no. En muchos casos, se usaron testimonios sobre la embriaguez o la venta de bebidas prohibidas para mostrar que una persona no era confiable, ya sea que se disputa el acceso al poder en la república de indios por parte de dos grupos o que los hacendados, comerciantes o las autoridades civiles y religiosas disputan con las autoridades indígenas; las partes se acusaban mutuamente de producir, vender, o beber licores prohibidos con la intensión de que las autoridades vieran de manera condescendiente sus peticiones y tomaran partido.</w:t>
      </w:r>
    </w:p>
    <w:p>
      <w:pPr>
        <w:pStyle w:val="13"/>
        <w:spacing w:after="0"/>
        <w:jc w:val="both"/>
      </w:pPr>
      <w:r>
        <w:tab/>
      </w:r>
      <w:r>
        <w:t xml:space="preserve">El número de personas alcohólicas en el Michoacán colonial fue tal que se convirtió en una preocupación, cuando menos discursiva, para las autoridades civiles y eclesiásticas; sin embargo, sólo se recurrió a la amonestación en edictos y púlpitos, dejando de lado a las motivaciones económicas, sociales y psicológicas, que estaban lejos de ser atendidas. </w:t>
      </w:r>
    </w:p>
    <w:p>
      <w:pPr>
        <w:pStyle w:val="13"/>
        <w:spacing w:after="0"/>
        <w:ind w:firstLine="709"/>
        <w:jc w:val="both"/>
      </w:pPr>
      <w:r>
        <w:t xml:space="preserve">En un sistema social coercitivo, estratificado mediante la apariencia física y la genealogía, con pocas posibilidades de movilidad social ascendente; que condenaba a los grupos subalternos a una difícil subsistencia, la alegría fugaz de la embriaguez y la desinhibición que produce la bebida no eran consideradas “dañinas” o “malas” </w:t>
      </w:r>
      <w:r>
        <w:rPr>
          <w:i/>
        </w:rPr>
        <w:t>per se</w:t>
      </w:r>
      <w:r>
        <w:t xml:space="preserve">; por ello, el beber fue considerado un acto de transgresión inocua y una forma de oponerse a las disposiciones “arbitrarias” de un “mal gobierno”. </w:t>
      </w:r>
    </w:p>
    <w:p>
      <w:pPr>
        <w:pStyle w:val="13"/>
        <w:spacing w:after="0"/>
        <w:ind w:firstLine="709"/>
        <w:jc w:val="both"/>
      </w:pPr>
      <w:r>
        <w:t>Las castas, sobre todo los afrodescendientes, y las mujeres, fueron productoras y comercializadoras de bebidas prohibidas, por ser una manera límite de obtener ganancias mayores a las actividades productivas destinadas para ellas por el Estado, como lo era la servidumbre. Fabricar chinguiritos y charapes era una manera más rápida de obtener recursos, y sobre todo más digna, que limpiar pisos o lavar ropa. La actividad tenía, por su carácter marginal, algo atrayente para los más osados y era desafiante de la autoridad; sin embargo, no era una acción consciente de rebeldía. Cuando Hidalgo sembró vides y produjo vino fue un acto de insubordinación más de orden significativo que eficaz; no le interesaba ser una “competencia” para Málaga o Jerez, ni obtener una licencia, como la que se concedió a los tequileros, sino mostrar que ése acto cultural era político, pues se oponía a una lógica económica nueva y creciente: el liberalismo burgués.</w:t>
      </w:r>
    </w:p>
    <w:p>
      <w:pPr>
        <w:pStyle w:val="13"/>
        <w:spacing w:after="0"/>
        <w:ind w:firstLine="709"/>
        <w:jc w:val="both"/>
      </w:pPr>
      <w:r>
        <w:rPr>
          <w:rFonts w:ascii="SimSun" w:hAnsi="SimSun" w:eastAsia="SimSun" w:cs="SimSun"/>
          <w:sz w:val="24"/>
          <w:szCs w:val="24"/>
        </w:rPr>
        <w:drawing>
          <wp:anchor distT="0" distB="0" distL="114935" distR="114935" simplePos="0" relativeHeight="251662336" behindDoc="1" locked="0" layoutInCell="1" allowOverlap="1">
            <wp:simplePos x="0" y="0"/>
            <wp:positionH relativeFrom="column">
              <wp:posOffset>1528445</wp:posOffset>
            </wp:positionH>
            <wp:positionV relativeFrom="paragraph">
              <wp:posOffset>2259330</wp:posOffset>
            </wp:positionV>
            <wp:extent cx="1988185" cy="1392555"/>
            <wp:effectExtent l="0" t="0" r="50165" b="36195"/>
            <wp:wrapTight wrapText="bothSides">
              <wp:wrapPolygon>
                <wp:start x="0" y="0"/>
                <wp:lineTo x="0" y="21275"/>
                <wp:lineTo x="21317" y="21275"/>
                <wp:lineTo x="21317" y="0"/>
                <wp:lineTo x="0" y="0"/>
              </wp:wrapPolygon>
            </wp:wrapTight>
            <wp:docPr id="6"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IMG_256"/>
                    <pic:cNvPicPr>
                      <a:picLocks noChangeAspect="1"/>
                    </pic:cNvPicPr>
                  </pic:nvPicPr>
                  <pic:blipFill>
                    <a:blip r:embed="rId11"/>
                    <a:stretch>
                      <a:fillRect/>
                    </a:stretch>
                  </pic:blipFill>
                  <pic:spPr>
                    <a:xfrm>
                      <a:off x="0" y="0"/>
                      <a:ext cx="1988185" cy="1392555"/>
                    </a:xfrm>
                    <a:prstGeom prst="rect">
                      <a:avLst/>
                    </a:prstGeom>
                    <a:noFill/>
                    <a:ln w="9525">
                      <a:noFill/>
                    </a:ln>
                  </pic:spPr>
                </pic:pic>
              </a:graphicData>
            </a:graphic>
          </wp:anchor>
        </w:drawing>
      </w:r>
      <w:r>
        <w:t xml:space="preserve">Las restricciones para hacer y beber bebidas alcohólicas, sobre todo las que se realizaban al interior del hogar, en el ámbito privado, fueron intentos del Estado de normar la vida de los individuos incluso en espacios que con anterioridad estaban “libres” del control, incluso en el yo de las personas. El intento de limitar las libertades, y llegar “hasta la cocina”, donde se fermentaba el charape, debió causar sorpresa y enojo entre la “plebe”, formada por afrodescendientes e indígenas. Transgredir la restricción, hacer charape, consumirlo, pasar de la “alegría” a la borrachera, era para los grupos subalternos una manera de desafío consciente a la autoridad, retándola en el espacio de la vida cotidiana; aunque a veces esto sucediera en los espacios públicos. Un indio, una mestiza, una mulata o un negro, cualquier mimbro de la “plebe”, borrachos, “escandalizando” en la vía pública, o “durmiendo la borrachera”, medio desnudos, en las calles, era motivo de intranquilidad para las autoridades y las “buenas conciencias”. El “borracho” lograba que las personas “de bien” desviaran la mirada y, momentáneamente, obtenía un triunfo, pues se liberaba de la tutela estatal en su ámbito más interno, el yo, aunque fuera sólo para caer en la cárcel pública y amanecer barriendo la calle. </w:t>
      </w:r>
    </w:p>
    <w:p>
      <w:pPr>
        <w:pStyle w:val="13"/>
        <w:spacing w:after="0"/>
        <w:ind w:firstLine="700" w:firstLineChars="0"/>
        <w:jc w:val="both"/>
        <w:rPr>
          <w:rFonts w:hint="default"/>
          <w:lang w:val="es-MX"/>
        </w:rPr>
      </w:pPr>
      <w:r>
        <w:rPr>
          <w:rFonts w:hint="default"/>
          <w:lang w:val="es-MX"/>
        </w:rPr>
        <w:t>El estigma y la marginalidad forzada en que fueron colocadas las bebidas etnizadas por el Estado novohispano, primero, republicano, monárquico, restaurado, porfirista y posrevolucionario después, no lograron desaparecerlas del todo; sería la era de la industrialización de la cerveza, el ron y el brandy quienes harían el trabajo que no pudieron las leyes y las cárceles.</w:t>
      </w:r>
    </w:p>
    <w:p>
      <w:pPr>
        <w:pStyle w:val="13"/>
        <w:spacing w:after="0"/>
        <w:ind w:firstLine="709"/>
        <w:jc w:val="both"/>
      </w:pPr>
      <w:r>
        <w:t>Alcoholizarse era y es una práctica que atenta contra el individuo; pero, al ser individuo parte de la sociedad es también un acto de rebeldía contra ella y contra el Estado que la norma y controla. Entonces no nos queda sino decir ¡Salud! Por los abuelos y abuelas que nos dieron ¡Patria y mezcal!</w:t>
      </w:r>
    </w:p>
    <w:p>
      <w:pPr>
        <w:pStyle w:val="13"/>
        <w:spacing w:after="0"/>
        <w:ind w:firstLine="709"/>
        <w:jc w:val="both"/>
      </w:pPr>
    </w:p>
    <w:p>
      <w:pPr>
        <w:pStyle w:val="13"/>
        <w:spacing w:after="0"/>
        <w:ind w:firstLine="709"/>
        <w:jc w:val="both"/>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709295</wp:posOffset>
            </wp:positionH>
            <wp:positionV relativeFrom="paragraph">
              <wp:posOffset>109220</wp:posOffset>
            </wp:positionV>
            <wp:extent cx="1954530" cy="1954530"/>
            <wp:effectExtent l="0" t="0" r="7620" b="7620"/>
            <wp:wrapSquare wrapText="bothSides"/>
            <wp:docPr id="17" name="Imagen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3" descr="IMG_256"/>
                    <pic:cNvPicPr>
                      <a:picLocks noChangeAspect="1"/>
                    </pic:cNvPicPr>
                  </pic:nvPicPr>
                  <pic:blipFill>
                    <a:blip r:embed="rId12"/>
                    <a:stretch>
                      <a:fillRect/>
                    </a:stretch>
                  </pic:blipFill>
                  <pic:spPr>
                    <a:xfrm>
                      <a:off x="0" y="0"/>
                      <a:ext cx="1954530" cy="1954530"/>
                    </a:xfrm>
                    <a:prstGeom prst="rect">
                      <a:avLst/>
                    </a:prstGeom>
                    <a:noFill/>
                    <a:ln w="9525">
                      <a:noFill/>
                    </a:ln>
                  </pic:spPr>
                </pic:pic>
              </a:graphicData>
            </a:graphic>
          </wp:anchor>
        </w:drawing>
      </w:r>
    </w:p>
    <w:p>
      <w:pPr>
        <w:pStyle w:val="13"/>
        <w:spacing w:after="0"/>
        <w:ind w:left="0" w:leftChars="0" w:firstLine="0" w:firstLineChars="0"/>
        <w:jc w:val="center"/>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b/>
          <w:bCs/>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4"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5" name="Imagen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13"/>
        <w:spacing w:after="0"/>
        <w:ind w:firstLine="709"/>
        <w:jc w:val="both"/>
        <w:rPr>
          <w:rFonts w:ascii="SimSun" w:hAnsi="SimSun" w:eastAsia="SimSun" w:cs="SimSun"/>
          <w:sz w:val="24"/>
          <w:szCs w:val="24"/>
        </w:rPr>
      </w:pPr>
    </w:p>
    <w:p>
      <w:pPr>
        <w:pStyle w:val="8"/>
        <w:jc w:val="center"/>
        <w:rPr>
          <w:rFonts w:hint="default" w:ascii="Arial" w:hAnsi="Arial" w:cs="Arial"/>
          <w:b w:val="0"/>
          <w:bCs w:val="0"/>
          <w:sz w:val="28"/>
          <w:szCs w:val="28"/>
        </w:rPr>
      </w:pPr>
      <w:r>
        <w:rPr>
          <w:rFonts w:hint="default" w:ascii="Arial" w:hAnsi="Arial" w:cs="Arial"/>
          <w:b w:val="0"/>
          <w:bCs w:val="0"/>
          <w:sz w:val="28"/>
          <w:szCs w:val="28"/>
        </w:rPr>
        <w:t>Facultad de Historia</w:t>
      </w:r>
    </w:p>
    <w:p>
      <w:pPr>
        <w:pStyle w:val="8"/>
        <w:jc w:val="center"/>
        <w:rPr>
          <w:rFonts w:hint="default" w:ascii="Arial" w:hAnsi="Arial" w:cs="Arial"/>
          <w:b w:val="0"/>
          <w:bCs w:val="0"/>
          <w:sz w:val="28"/>
          <w:szCs w:val="28"/>
        </w:rPr>
      </w:pPr>
      <w:r>
        <w:rPr>
          <w:rFonts w:hint="default" w:ascii="Arial" w:hAnsi="Arial" w:cs="Arial"/>
          <w:b w:val="0"/>
          <w:bCs w:val="0"/>
          <w:sz w:val="28"/>
          <w:szCs w:val="28"/>
        </w:rPr>
        <w:t>UMSNH</w:t>
      </w:r>
    </w:p>
    <w:p>
      <w:pPr>
        <w:pStyle w:val="8"/>
        <w:jc w:val="center"/>
        <w:rPr>
          <w:rFonts w:hint="default" w:ascii="Arial" w:hAnsi="Arial" w:cs="Arial"/>
          <w:b w:val="0"/>
          <w:bCs w:val="0"/>
          <w:sz w:val="20"/>
          <w:szCs w:val="20"/>
        </w:rPr>
      </w:pPr>
    </w:p>
    <w:p>
      <w:pPr>
        <w:pStyle w:val="8"/>
        <w:jc w:val="center"/>
        <w:rPr>
          <w:sz w:val="20"/>
          <w:szCs w:val="20"/>
          <w:lang w:val="es-MX"/>
        </w:rPr>
      </w:pPr>
      <w:r>
        <w:rPr>
          <w:rFonts w:ascii="SimSun" w:hAnsi="SimSun" w:eastAsia="SimSun" w:cs="SimSun"/>
          <w:sz w:val="24"/>
          <w:szCs w:val="24"/>
        </w:rPr>
        <w:drawing>
          <wp:inline distT="0" distB="0" distL="114300" distR="114300">
            <wp:extent cx="463550" cy="496570"/>
            <wp:effectExtent l="0" t="0" r="12700" b="17780"/>
            <wp:docPr id="16" name="Imagen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1" descr="IMG_256"/>
                    <pic:cNvPicPr>
                      <a:picLocks noChangeAspect="1"/>
                    </pic:cNvPicPr>
                  </pic:nvPicPr>
                  <pic:blipFill>
                    <a:blip r:embed="rId8"/>
                    <a:stretch>
                      <a:fillRect/>
                    </a:stretch>
                  </pic:blipFill>
                  <pic:spPr>
                    <a:xfrm>
                      <a:off x="0" y="0"/>
                      <a:ext cx="463550" cy="496570"/>
                    </a:xfrm>
                    <a:prstGeom prst="rect">
                      <a:avLst/>
                    </a:prstGeom>
                    <a:noFill/>
                    <a:ln w="9525">
                      <a:noFill/>
                    </a:ln>
                  </pic:spPr>
                </pic:pic>
              </a:graphicData>
            </a:graphic>
          </wp:inline>
        </w:drawing>
      </w:r>
    </w:p>
    <w:sectPr>
      <w:headerReference r:id="rId4" w:type="default"/>
      <w:footerReference r:id="rId5" w:type="default"/>
      <w:pgSz w:w="7370" w:h="12240"/>
      <w:pgMar w:top="850" w:right="850" w:bottom="850" w:left="850" w:header="720" w:footer="720"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swiss"/>
    <w:pitch w:val="default"/>
    <w:sig w:usb0="80000287" w:usb1="2ACF3C50" w:usb2="00000016" w:usb3="00000000" w:csb0="0004001F" w:csb1="00000000"/>
  </w:font>
  <w:font w:name="Bahnschrift SemiLigh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Agency FB">
    <w:panose1 w:val="020B0503020202020204"/>
    <w:charset w:val="00"/>
    <w:family w:val="swiss"/>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rPr>
        <w:sz w:val="24"/>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lang w:val="es-MX"/>
                            </w:rPr>
                          </w:pPr>
                          <w:r>
                            <w:rPr>
                              <w:lang w:val="es-MX"/>
                            </w:rPr>
                            <w:fldChar w:fldCharType="begin"/>
                          </w:r>
                          <w:r>
                            <w:rPr>
                              <w:lang w:val="es-MX"/>
                            </w:rPr>
                            <w:instrText xml:space="preserve"> PAGE  \* MERGEFORMAT </w:instrText>
                          </w:r>
                          <w:r>
                            <w:rPr>
                              <w:lang w:val="es-MX"/>
                            </w:rPr>
                            <w:fldChar w:fldCharType="separate"/>
                          </w:r>
                          <w:r>
                            <w:rPr>
                              <w:lang w:val="es-MX"/>
                            </w:rPr>
                            <w:t>1</w:t>
                          </w:r>
                          <w:r>
                            <w:rPr>
                              <w:lang w:val="es-MX"/>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F4G&#10;658nAgAAZwQAAA4AAAAAAAAAAQAgAAAAHwEAAGRycy9lMm9Eb2MueG1sUEsFBgAAAAAGAAYAWQEA&#10;ALgFAAAAAA==&#10;">
              <v:fill on="f" focussize="0,0"/>
              <v:stroke on="f" weight="0.5pt"/>
              <v:imagedata o:title=""/>
              <o:lock v:ext="edit" aspectratio="f"/>
              <v:textbox inset="0mm,0mm,0mm,0mm" style="mso-fit-shape-to-text:t;">
                <w:txbxContent>
                  <w:p>
                    <w:pPr>
                      <w:pStyle w:val="14"/>
                      <w:rPr>
                        <w:lang w:val="es-MX"/>
                      </w:rPr>
                    </w:pPr>
                    <w:r>
                      <w:rPr>
                        <w:lang w:val="es-MX"/>
                      </w:rPr>
                      <w:fldChar w:fldCharType="begin"/>
                    </w:r>
                    <w:r>
                      <w:rPr>
                        <w:lang w:val="es-MX"/>
                      </w:rPr>
                      <w:instrText xml:space="preserve"> PAGE  \* MERGEFORMAT </w:instrText>
                    </w:r>
                    <w:r>
                      <w:rPr>
                        <w:lang w:val="es-MX"/>
                      </w:rPr>
                      <w:fldChar w:fldCharType="separate"/>
                    </w:r>
                    <w:r>
                      <w:rPr>
                        <w:lang w:val="es-MX"/>
                      </w:rPr>
                      <w:t>1</w:t>
                    </w:r>
                    <w:r>
                      <w:rPr>
                        <w:lang w:val="es-MX"/>
                      </w:rPr>
                      <w:fldChar w:fldCharType="end"/>
                    </w:r>
                  </w:p>
                </w:txbxContent>
              </v:textbox>
            </v:shape>
          </w:pict>
        </mc:Fallback>
      </mc:AlternateContent>
    </w: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1643380</wp:posOffset>
          </wp:positionH>
          <wp:positionV relativeFrom="paragraph">
            <wp:posOffset>46355</wp:posOffset>
          </wp:positionV>
          <wp:extent cx="296545" cy="296545"/>
          <wp:effectExtent l="0" t="0" r="8255" b="8255"/>
          <wp:wrapSquare wrapText="bothSides"/>
          <wp:docPr id="11" name="Imagen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G_256"/>
                  <pic:cNvPicPr>
                    <a:picLocks noChangeAspect="1"/>
                  </pic:cNvPicPr>
                </pic:nvPicPr>
                <pic:blipFill>
                  <a:blip r:embed="rId1"/>
                  <a:stretch>
                    <a:fillRect/>
                  </a:stretch>
                </pic:blipFill>
                <pic:spPr>
                  <a:xfrm>
                    <a:off x="0" y="0"/>
                    <a:ext cx="296545" cy="296545"/>
                  </a:xfrm>
                  <a:prstGeom prst="rect">
                    <a:avLst/>
                  </a:prstGeom>
                  <a:noFill/>
                  <a:ln w="9525">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58">
    <w:p>
      <w:r>
        <w:separator/>
      </w:r>
    </w:p>
  </w:footnote>
  <w:footnote w:type="continuationSeparator" w:id="159">
    <w:p>
      <w:r>
        <w:continuationSeparator/>
      </w:r>
    </w:p>
  </w:footnote>
  <w:footnote w:id="0">
    <w:p>
      <w:pPr>
        <w:pStyle w:val="6"/>
        <w:snapToGrid w:val="0"/>
        <w:jc w:val="both"/>
        <w:rPr>
          <w:sz w:val="18"/>
          <w:szCs w:val="18"/>
          <w:lang w:val="es-MX"/>
        </w:rPr>
      </w:pPr>
      <w:r>
        <w:rPr>
          <w:rStyle w:val="5"/>
          <w:sz w:val="18"/>
          <w:szCs w:val="18"/>
        </w:rPr>
        <w:footnoteRef/>
      </w:r>
      <w:r>
        <w:rPr>
          <w:sz w:val="18"/>
          <w:szCs w:val="18"/>
        </w:rPr>
        <w:t xml:space="preserve"> </w:t>
      </w:r>
      <w:r>
        <w:rPr>
          <w:sz w:val="18"/>
          <w:szCs w:val="18"/>
          <w:lang w:val="es-MX"/>
        </w:rPr>
        <w:t>Martínez Ayala, Jorge Amós, ¡Ése negro ni necesita máscara!,</w:t>
      </w:r>
    </w:p>
  </w:footnote>
  <w:footnote w:id="1">
    <w:p>
      <w:pPr>
        <w:pStyle w:val="9"/>
        <w:snapToGrid w:val="0"/>
        <w:jc w:val="both"/>
        <w:rPr>
          <w:rFonts w:hint="default" w:ascii="Times New Roman" w:hAnsi="Times New Roman" w:cs="Times New Roman"/>
          <w:sz w:val="18"/>
          <w:szCs w:val="18"/>
          <w:lang w:val="es-MX"/>
        </w:rPr>
      </w:pPr>
      <w:r>
        <w:rPr>
          <w:rStyle w:val="5"/>
          <w:rFonts w:hint="default" w:ascii="Times New Roman" w:hAnsi="Times New Roman" w:cs="Times New Roman"/>
          <w:sz w:val="18"/>
          <w:szCs w:val="18"/>
        </w:rPr>
        <w:footnoteRef/>
      </w:r>
      <w:r>
        <w:rPr>
          <w:rFonts w:hint="default" w:ascii="Times New Roman" w:hAnsi="Times New Roman" w:cs="Times New Roman"/>
          <w:sz w:val="18"/>
          <w:szCs w:val="18"/>
        </w:rPr>
        <w:t xml:space="preserve"> </w:t>
      </w:r>
      <w:r>
        <w:rPr>
          <w:rFonts w:hint="default" w:ascii="Times New Roman" w:hAnsi="Times New Roman" w:eastAsia="SimSun" w:cs="Times New Roman"/>
          <w:sz w:val="18"/>
          <w:szCs w:val="18"/>
        </w:rPr>
        <w:t>Velázquez-Monreal</w:t>
      </w:r>
      <w:r>
        <w:rPr>
          <w:rFonts w:hint="default" w:ascii="Times New Roman" w:hAnsi="Times New Roman" w:cs="Times New Roman"/>
          <w:sz w:val="18"/>
          <w:szCs w:val="18"/>
          <w:lang w:val="es-MX"/>
        </w:rPr>
        <w:t>,</w:t>
      </w:r>
      <w:r>
        <w:rPr>
          <w:rFonts w:hint="default" w:ascii="Times New Roman" w:hAnsi="Times New Roman" w:eastAsia="SimSun" w:cs="Times New Roman"/>
          <w:sz w:val="18"/>
          <w:szCs w:val="18"/>
        </w:rPr>
        <w:t xml:space="preserve">Joaquín </w:t>
      </w:r>
      <w:r>
        <w:rPr>
          <w:rFonts w:hint="default" w:ascii="Times New Roman" w:hAnsi="Times New Roman" w:cs="Times New Roman"/>
          <w:i/>
          <w:iCs/>
          <w:sz w:val="18"/>
          <w:szCs w:val="18"/>
          <w:lang w:val="es-MX"/>
        </w:rPr>
        <w:t>et. al.</w:t>
      </w:r>
      <w:r>
        <w:rPr>
          <w:rFonts w:hint="default" w:ascii="Times New Roman" w:hAnsi="Times New Roman" w:cs="Times New Roman"/>
          <w:sz w:val="18"/>
          <w:szCs w:val="18"/>
          <w:lang w:val="es-MX"/>
        </w:rPr>
        <w:t xml:space="preserve">, </w:t>
      </w:r>
      <w:r>
        <w:rPr>
          <w:rFonts w:hint="default" w:cs="Times New Roman"/>
          <w:sz w:val="18"/>
          <w:szCs w:val="18"/>
          <w:lang w:val="es-MX"/>
        </w:rPr>
        <w:t>“</w:t>
      </w:r>
      <w:r>
        <w:rPr>
          <w:rFonts w:hint="default" w:ascii="Times New Roman" w:hAnsi="Times New Roman" w:eastAsia="SimSun" w:cs="Times New Roman"/>
          <w:sz w:val="18"/>
          <w:szCs w:val="18"/>
        </w:rPr>
        <w:t>Tuba: una bebida fermentada tradicional de Colima</w:t>
      </w:r>
      <w:r>
        <w:rPr>
          <w:rFonts w:hint="default" w:cs="Times New Roman"/>
          <w:sz w:val="18"/>
          <w:szCs w:val="18"/>
          <w:lang w:val="es-MX"/>
        </w:rPr>
        <w:t>”</w:t>
      </w:r>
      <w:r>
        <w:rPr>
          <w:rFonts w:hint="default" w:ascii="Times New Roman" w:hAnsi="Times New Roman" w:cs="Times New Roman"/>
          <w:sz w:val="18"/>
          <w:szCs w:val="18"/>
          <w:lang w:val="es-MX"/>
        </w:rPr>
        <w:t>,</w:t>
      </w:r>
      <w:r>
        <w:rPr>
          <w:rFonts w:hint="default" w:cs="Times New Roman"/>
          <w:sz w:val="18"/>
          <w:szCs w:val="18"/>
          <w:lang w:val="es-MX"/>
        </w:rPr>
        <w:t xml:space="preserve"> en</w:t>
      </w:r>
      <w:r>
        <w:rPr>
          <w:rFonts w:hint="default" w:cs="Times New Roman"/>
          <w:i/>
          <w:iCs/>
          <w:sz w:val="18"/>
          <w:szCs w:val="18"/>
          <w:lang w:val="es-MX"/>
        </w:rPr>
        <w:t xml:space="preserve"> </w:t>
      </w:r>
      <w:r>
        <w:rPr>
          <w:rFonts w:hint="default" w:ascii="Times New Roman" w:hAnsi="Times New Roman" w:eastAsia="SimSun" w:cs="Times New Roman"/>
          <w:i/>
          <w:iCs/>
          <w:sz w:val="18"/>
          <w:szCs w:val="18"/>
        </w:rPr>
        <w:t>CIENCIACIERTA</w:t>
      </w:r>
      <w:r>
        <w:rPr>
          <w:rFonts w:hint="default" w:cs="Times New Roman"/>
          <w:sz w:val="18"/>
          <w:szCs w:val="18"/>
          <w:lang w:val="es-MX"/>
        </w:rPr>
        <w:t xml:space="preserve">, </w:t>
      </w:r>
      <w:r>
        <w:rPr>
          <w:rFonts w:hint="default" w:ascii="Times New Roman" w:hAnsi="Times New Roman" w:eastAsia="SimSun" w:cs="Times New Roman"/>
          <w:sz w:val="18"/>
          <w:szCs w:val="18"/>
        </w:rPr>
        <w:t xml:space="preserve"> </w:t>
      </w:r>
      <w:r>
        <w:rPr>
          <w:rFonts w:hint="default" w:cs="Times New Roman"/>
          <w:sz w:val="18"/>
          <w:szCs w:val="18"/>
          <w:lang w:val="es-MX"/>
        </w:rPr>
        <w:t>Coahuila 7 (</w:t>
      </w:r>
      <w:r>
        <w:rPr>
          <w:rFonts w:hint="default" w:ascii="Times New Roman" w:hAnsi="Times New Roman" w:eastAsia="SimSun" w:cs="Times New Roman"/>
          <w:sz w:val="18"/>
          <w:szCs w:val="18"/>
        </w:rPr>
        <w:t>25</w:t>
      </w:r>
      <w:r>
        <w:rPr>
          <w:rFonts w:hint="default" w:cs="Times New Roman"/>
          <w:sz w:val="18"/>
          <w:szCs w:val="18"/>
          <w:lang w:val="es-MX"/>
        </w:rPr>
        <w:t xml:space="preserve">) </w:t>
      </w:r>
      <w:r>
        <w:rPr>
          <w:rFonts w:hint="default" w:ascii="Times New Roman" w:hAnsi="Times New Roman" w:cs="Times New Roman"/>
          <w:sz w:val="18"/>
          <w:szCs w:val="18"/>
          <w:lang w:val="es-MX"/>
        </w:rPr>
        <w:t>,</w:t>
      </w:r>
      <w:r>
        <w:rPr>
          <w:rFonts w:hint="default" w:ascii="Times New Roman" w:hAnsi="Times New Roman" w:eastAsia="SimSun" w:cs="Times New Roman"/>
          <w:sz w:val="18"/>
          <w:szCs w:val="18"/>
        </w:rPr>
        <w:t>enero - marzo</w:t>
      </w:r>
      <w:r>
        <w:rPr>
          <w:rFonts w:hint="default" w:cs="Times New Roman"/>
          <w:sz w:val="18"/>
          <w:szCs w:val="18"/>
          <w:lang w:val="es-MX"/>
        </w:rPr>
        <w:t>,</w:t>
      </w:r>
      <w:r>
        <w:rPr>
          <w:rFonts w:hint="default" w:ascii="Times New Roman" w:hAnsi="Times New Roman" w:eastAsia="SimSun" w:cs="Times New Roman"/>
          <w:sz w:val="18"/>
          <w:szCs w:val="18"/>
        </w:rPr>
        <w:t xml:space="preserve"> 2011</w:t>
      </w:r>
      <w:r>
        <w:rPr>
          <w:rFonts w:hint="default" w:cs="Times New Roman"/>
          <w:sz w:val="18"/>
          <w:szCs w:val="18"/>
          <w:lang w:val="es-MX"/>
        </w:rPr>
        <w:t>, pp. 1-7.</w:t>
      </w:r>
    </w:p>
  </w:footnote>
  <w:footnote w:id="2">
    <w:p>
      <w:pPr>
        <w:keepNext w:val="0"/>
        <w:keepLines w:val="0"/>
        <w:widowControl/>
        <w:suppressLineNumbers w:val="0"/>
        <w:jc w:val="left"/>
        <w:rPr>
          <w:rFonts w:hint="default" w:ascii="Times New Roman" w:hAnsi="Times New Roman" w:cs="Times New Roman"/>
          <w:sz w:val="18"/>
          <w:szCs w:val="18"/>
          <w:lang w:val="es-MX"/>
        </w:rPr>
      </w:pPr>
      <w:r>
        <w:rPr>
          <w:rStyle w:val="5"/>
          <w:rFonts w:hint="default" w:ascii="Times New Roman" w:hAnsi="Times New Roman" w:cs="Times New Roman"/>
          <w:sz w:val="18"/>
          <w:szCs w:val="18"/>
        </w:rPr>
        <w:footnoteRef/>
      </w:r>
      <w:r>
        <w:rPr>
          <w:rFonts w:hint="default" w:ascii="Times New Roman" w:hAnsi="Times New Roman" w:cs="Times New Roman"/>
          <w:sz w:val="18"/>
          <w:szCs w:val="18"/>
        </w:rPr>
        <w:t xml:space="preserve"> </w:t>
      </w:r>
      <w:r>
        <w:rPr>
          <w:rFonts w:hint="default" w:ascii="Times New Roman" w:hAnsi="Times New Roman" w:cs="Times New Roman"/>
          <w:sz w:val="18"/>
          <w:szCs w:val="18"/>
          <w:lang w:val="es-MX"/>
        </w:rPr>
        <w:t xml:space="preserve">Quintero Salazar, Bazilia </w:t>
      </w:r>
      <w:r>
        <w:rPr>
          <w:rFonts w:hint="default" w:ascii="Times New Roman" w:hAnsi="Times New Roman" w:cs="Times New Roman"/>
          <w:i/>
          <w:iCs/>
          <w:sz w:val="18"/>
          <w:szCs w:val="18"/>
          <w:lang w:val="es-MX"/>
        </w:rPr>
        <w:t>et. al</w:t>
      </w:r>
      <w:r>
        <w:rPr>
          <w:rFonts w:hint="default" w:ascii="Times New Roman" w:hAnsi="Times New Roman" w:cs="Times New Roman"/>
          <w:sz w:val="18"/>
          <w:szCs w:val="18"/>
          <w:lang w:val="es-MX"/>
        </w:rPr>
        <w:t>., “</w:t>
      </w:r>
      <w:r>
        <w:rPr>
          <w:rFonts w:hint="default" w:ascii="Times New Roman" w:hAnsi="Times New Roman" w:eastAsia="SimSun" w:cs="Times New Roman"/>
          <w:kern w:val="0"/>
          <w:sz w:val="18"/>
          <w:szCs w:val="18"/>
          <w:lang w:val="en-US" w:eastAsia="zh-CN" w:bidi="ar"/>
        </w:rPr>
        <w:t>Consumo y conocimiento actual de una bebida fermentada tradicional en Ixtapan del Oro, México: la sambumbia</w:t>
      </w:r>
      <w:r>
        <w:rPr>
          <w:rFonts w:hint="default" w:ascii="Times New Roman" w:hAnsi="Times New Roman" w:eastAsia="SimSun" w:cs="Times New Roman"/>
          <w:kern w:val="0"/>
          <w:sz w:val="18"/>
          <w:szCs w:val="18"/>
          <w:lang w:val="es-MX" w:eastAsia="zh-CN" w:bidi="ar"/>
        </w:rPr>
        <w:t xml:space="preserve">, en </w:t>
      </w:r>
      <w:r>
        <w:rPr>
          <w:rFonts w:hint="default" w:ascii="Times New Roman" w:hAnsi="Times New Roman" w:eastAsia="SimSun" w:cs="Times New Roman"/>
          <w:i/>
          <w:iCs/>
          <w:kern w:val="0"/>
          <w:sz w:val="18"/>
          <w:szCs w:val="18"/>
          <w:lang w:val="es-MX" w:eastAsia="zh-CN" w:bidi="ar"/>
        </w:rPr>
        <w:t>Alteridades</w:t>
      </w:r>
      <w:r>
        <w:rPr>
          <w:rFonts w:hint="default" w:ascii="Times New Roman" w:hAnsi="Times New Roman" w:eastAsia="SimSun" w:cs="Times New Roman"/>
          <w:kern w:val="0"/>
          <w:sz w:val="18"/>
          <w:szCs w:val="18"/>
          <w:lang w:val="es-MX" w:eastAsia="zh-CN" w:bidi="ar"/>
        </w:rPr>
        <w:t>, Ciudad de México, 22 (44), 2012, pp. 115- 129.</w:t>
      </w:r>
    </w:p>
    <w:p>
      <w:pPr>
        <w:pStyle w:val="6"/>
        <w:snapToGrid w:val="0"/>
        <w:rPr>
          <w:sz w:val="18"/>
          <w:szCs w:val="18"/>
          <w:lang w:val="es-MX"/>
        </w:rPr>
      </w:pPr>
    </w:p>
  </w:footnote>
  <w:footnote w:id="3">
    <w:p>
      <w:pPr>
        <w:widowControl/>
        <w:suppressAutoHyphens w:val="0"/>
        <w:autoSpaceDE w:val="0"/>
        <w:adjustRightInd w:val="0"/>
        <w:jc w:val="both"/>
        <w:textAlignment w:val="auto"/>
        <w:rPr>
          <w:sz w:val="18"/>
          <w:szCs w:val="18"/>
        </w:rPr>
      </w:pPr>
      <w:r>
        <w:rPr>
          <w:rStyle w:val="5"/>
          <w:sz w:val="18"/>
          <w:szCs w:val="18"/>
        </w:rPr>
        <w:footnoteRef/>
      </w:r>
      <w:r>
        <w:rPr>
          <w:sz w:val="18"/>
          <w:szCs w:val="18"/>
        </w:rPr>
        <w:t xml:space="preserve"> La noción de “cultura popular” de Ginzburg, Carlo, </w:t>
      </w:r>
      <w:r>
        <w:rPr>
          <w:i/>
          <w:sz w:val="18"/>
          <w:szCs w:val="18"/>
        </w:rPr>
        <w:t>El queso y los gusanos. El universo según un molinero del siglo XVI</w:t>
      </w:r>
      <w:r>
        <w:rPr>
          <w:sz w:val="18"/>
          <w:szCs w:val="18"/>
        </w:rPr>
        <w:t xml:space="preserve">, México, Océano, 2008; la cual debe mucho a los pensamientos de Antonio Gramsci y Clifford Geertz. Los posicionamientos están claramente trazados en Gómez Mendoza, Oriel y Peter Burke, “Introducción”, en Gómez Mendoza, Oriel y Miguel Ángel Urrego Ardila, </w:t>
      </w:r>
      <w:r>
        <w:rPr>
          <w:i/>
          <w:sz w:val="18"/>
          <w:szCs w:val="18"/>
        </w:rPr>
        <w:t>La cultura en tiempos modernos. Peter Burke y la Historia Cultural</w:t>
      </w:r>
      <w:r>
        <w:rPr>
          <w:sz w:val="18"/>
          <w:szCs w:val="18"/>
        </w:rPr>
        <w:t xml:space="preserve">, Morelia, FH-UMSNH, 2011,  pp. 13-24. </w:t>
      </w:r>
    </w:p>
  </w:footnote>
  <w:footnote w:id="4">
    <w:p>
      <w:pPr>
        <w:widowControl/>
        <w:suppressAutoHyphens w:val="0"/>
        <w:autoSpaceDE w:val="0"/>
        <w:adjustRightInd w:val="0"/>
        <w:jc w:val="both"/>
        <w:textAlignment w:val="auto"/>
        <w:rPr>
          <w:sz w:val="18"/>
          <w:szCs w:val="18"/>
        </w:rPr>
      </w:pPr>
      <w:r>
        <w:rPr>
          <w:rStyle w:val="5"/>
          <w:sz w:val="18"/>
          <w:szCs w:val="18"/>
        </w:rPr>
        <w:footnoteRef/>
      </w:r>
      <w:r>
        <w:rPr>
          <w:sz w:val="18"/>
          <w:szCs w:val="18"/>
        </w:rPr>
        <w:t xml:space="preserve"> </w:t>
      </w:r>
      <w:r>
        <w:rPr>
          <w:rFonts w:cs="Times New Roman"/>
          <w:kern w:val="0"/>
          <w:sz w:val="18"/>
          <w:szCs w:val="18"/>
          <w:lang w:bidi="ar-SA"/>
        </w:rPr>
        <w:t xml:space="preserve">Foucault,  Michael, </w:t>
      </w:r>
      <w:r>
        <w:rPr>
          <w:rFonts w:cs="Times New Roman"/>
          <w:i/>
          <w:iCs/>
          <w:kern w:val="0"/>
          <w:sz w:val="18"/>
          <w:szCs w:val="18"/>
          <w:lang w:bidi="ar-SA"/>
        </w:rPr>
        <w:t>Tecnologías del yo y otros textos afines</w:t>
      </w:r>
      <w:r>
        <w:rPr>
          <w:rFonts w:cs="Times New Roman"/>
          <w:kern w:val="0"/>
          <w:sz w:val="18"/>
          <w:szCs w:val="18"/>
          <w:lang w:bidi="ar-SA"/>
        </w:rPr>
        <w:t>,  Barcelona, Paidós Ibérica, 1990, pp.12-13, 24.</w:t>
      </w:r>
    </w:p>
  </w:footnote>
  <w:footnote w:id="5">
    <w:p>
      <w:pPr>
        <w:pStyle w:val="6"/>
        <w:jc w:val="both"/>
        <w:rPr>
          <w:sz w:val="18"/>
          <w:szCs w:val="18"/>
        </w:rPr>
      </w:pPr>
      <w:r>
        <w:rPr>
          <w:rStyle w:val="5"/>
          <w:sz w:val="18"/>
          <w:szCs w:val="18"/>
        </w:rPr>
        <w:footnoteRef/>
      </w:r>
      <w:r>
        <w:rPr>
          <w:sz w:val="18"/>
          <w:szCs w:val="18"/>
        </w:rPr>
        <w:t xml:space="preserve"> Escalante Gonzalbo, Pablo y Antonio Rubial García, “El ámbito civil, el órden y las personas”, en Gozalbo Aizpuro, Pilar (directora de la serie), </w:t>
      </w:r>
      <w:r>
        <w:rPr>
          <w:i/>
          <w:sz w:val="18"/>
          <w:szCs w:val="18"/>
        </w:rPr>
        <w:t>Historia de la vida cotidiana en México</w:t>
      </w:r>
      <w:r>
        <w:rPr>
          <w:sz w:val="18"/>
          <w:szCs w:val="18"/>
        </w:rPr>
        <w:t xml:space="preserve">, Vol. I., “Mesoamérica y los ámbitos indígenas de la Nueva España”, México, FCE/El Colegio de México, 2004, p. 421. Escalante, Gozalbo, Pablo, “La casa, el cuerpo y las emociones”, en </w:t>
      </w:r>
      <w:r>
        <w:rPr>
          <w:i/>
          <w:sz w:val="18"/>
          <w:szCs w:val="18"/>
        </w:rPr>
        <w:t>op. cit.</w:t>
      </w:r>
      <w:r>
        <w:rPr>
          <w:sz w:val="18"/>
          <w:szCs w:val="18"/>
        </w:rPr>
        <w:t xml:space="preserve">,  pp. 245, 247. Corcuera de Mancera, Sonia, “La embriaguez, la cocina y los códigos morales”, en Gozalbo Aizpuro, Pilar (directora de la serie), </w:t>
      </w:r>
      <w:r>
        <w:rPr>
          <w:i/>
          <w:sz w:val="18"/>
          <w:szCs w:val="18"/>
        </w:rPr>
        <w:t>Historia de la vida cotidiana en México</w:t>
      </w:r>
      <w:r>
        <w:rPr>
          <w:sz w:val="18"/>
          <w:szCs w:val="18"/>
        </w:rPr>
        <w:t>, Vol. II., “La ciudad barroca”, México, FCE/El Colegio de México, 2004, pp. 529, 534.</w:t>
      </w:r>
    </w:p>
  </w:footnote>
  <w:footnote w:id="6">
    <w:p>
      <w:pPr>
        <w:pStyle w:val="6"/>
        <w:jc w:val="both"/>
        <w:rPr>
          <w:sz w:val="18"/>
          <w:szCs w:val="18"/>
        </w:rPr>
      </w:pPr>
      <w:r>
        <w:rPr>
          <w:rStyle w:val="5"/>
          <w:sz w:val="18"/>
          <w:szCs w:val="18"/>
        </w:rPr>
        <w:footnoteRef/>
      </w:r>
      <w:r>
        <w:rPr>
          <w:sz w:val="18"/>
          <w:szCs w:val="18"/>
        </w:rPr>
        <w:t xml:space="preserve"> Corcuera, </w:t>
      </w:r>
      <w:r>
        <w:rPr>
          <w:i/>
          <w:sz w:val="18"/>
          <w:szCs w:val="18"/>
        </w:rPr>
        <w:t>Ibid</w:t>
      </w:r>
      <w:r>
        <w:rPr>
          <w:sz w:val="18"/>
          <w:szCs w:val="18"/>
        </w:rPr>
        <w:t>., p. 533.  Toledo 24/agosto/1529.</w:t>
      </w:r>
    </w:p>
  </w:footnote>
  <w:footnote w:id="7">
    <w:p>
      <w:pPr>
        <w:pStyle w:val="6"/>
        <w:jc w:val="both"/>
        <w:rPr>
          <w:sz w:val="18"/>
          <w:szCs w:val="18"/>
        </w:rPr>
      </w:pPr>
      <w:r>
        <w:rPr>
          <w:rStyle w:val="5"/>
          <w:sz w:val="18"/>
          <w:szCs w:val="18"/>
        </w:rPr>
        <w:footnoteRef/>
      </w:r>
      <w:r>
        <w:rPr>
          <w:sz w:val="18"/>
          <w:szCs w:val="18"/>
        </w:rPr>
        <w:t xml:space="preserve"> Archivo Histórico Municipal de Morelia (en adelante AHMM) I Gobierno caja 1 expediente 16 varias cartas 30 /marzo/1690 El Sr. Gral. Don Manuel Gerónimo de Tovar, Alcalde mayor de Michoacán.</w:t>
      </w:r>
    </w:p>
  </w:footnote>
  <w:footnote w:id="8">
    <w:p>
      <w:pPr>
        <w:pStyle w:val="6"/>
        <w:jc w:val="both"/>
        <w:rPr>
          <w:sz w:val="18"/>
          <w:szCs w:val="18"/>
        </w:rPr>
      </w:pPr>
      <w:r>
        <w:rPr>
          <w:rStyle w:val="5"/>
          <w:sz w:val="18"/>
          <w:szCs w:val="18"/>
        </w:rPr>
        <w:footnoteRef/>
      </w:r>
      <w:r>
        <w:rPr>
          <w:sz w:val="18"/>
          <w:szCs w:val="18"/>
        </w:rPr>
        <w:t xml:space="preserve"> AHMM I Gobierno Caja 1 expediente 16 varias cartas 14/ noviembre/ 1690 El Capitán Don Francisco Díaz de la Calle y Madrigal, Alcalde mayor de Michoacán.</w:t>
      </w:r>
    </w:p>
  </w:footnote>
  <w:footnote w:id="9">
    <w:p>
      <w:pPr>
        <w:pStyle w:val="6"/>
        <w:jc w:val="both"/>
        <w:rPr>
          <w:sz w:val="18"/>
          <w:szCs w:val="18"/>
        </w:rPr>
      </w:pPr>
      <w:r>
        <w:rPr>
          <w:rStyle w:val="5"/>
          <w:sz w:val="18"/>
          <w:szCs w:val="18"/>
        </w:rPr>
        <w:footnoteRef/>
      </w:r>
      <w:r>
        <w:rPr>
          <w:sz w:val="18"/>
          <w:szCs w:val="18"/>
        </w:rPr>
        <w:t xml:space="preserve"> Gilberti, fray Maturino, </w:t>
      </w:r>
      <w:r>
        <w:rPr>
          <w:i/>
          <w:sz w:val="18"/>
          <w:szCs w:val="18"/>
        </w:rPr>
        <w:t>Vocabulario en lengua de Mechuacán</w:t>
      </w:r>
      <w:r>
        <w:rPr>
          <w:sz w:val="18"/>
          <w:szCs w:val="18"/>
        </w:rPr>
        <w:t>, Zamora, El Colegio de Michoacán/Fideicomiso Teixidor, 1997, p. 623.</w:t>
      </w:r>
    </w:p>
  </w:footnote>
  <w:footnote w:id="10">
    <w:p>
      <w:pPr>
        <w:pStyle w:val="13"/>
        <w:spacing w:after="0"/>
        <w:jc w:val="both"/>
        <w:rPr>
          <w:sz w:val="18"/>
          <w:szCs w:val="18"/>
        </w:rPr>
      </w:pPr>
      <w:r>
        <w:rPr>
          <w:rStyle w:val="5"/>
          <w:sz w:val="18"/>
          <w:szCs w:val="18"/>
        </w:rPr>
        <w:footnoteRef/>
      </w:r>
      <w:r>
        <w:rPr>
          <w:sz w:val="18"/>
          <w:szCs w:val="18"/>
        </w:rPr>
        <w:t xml:space="preserve"> AHMM Valladolid Actas de cabildo Libro 28 1759-1771 Acta del 16/Mayo/1763 f  70 v. Para conocer sobre el manejo del pulque, en el reino de la Nueva España, véase: Hernández Palomo, José Jesús, </w:t>
      </w:r>
      <w:r>
        <w:rPr>
          <w:i/>
          <w:iCs/>
          <w:sz w:val="18"/>
          <w:szCs w:val="18"/>
        </w:rPr>
        <w:t>La renta del pulque en Nueva España, 1663-1810</w:t>
      </w:r>
      <w:r>
        <w:rPr>
          <w:sz w:val="18"/>
          <w:szCs w:val="18"/>
        </w:rPr>
        <w:t>, Sevilla, EEH, 1979.</w:t>
      </w:r>
    </w:p>
  </w:footnote>
  <w:footnote w:id="11">
    <w:p>
      <w:pPr>
        <w:pStyle w:val="6"/>
        <w:jc w:val="both"/>
        <w:rPr>
          <w:sz w:val="18"/>
          <w:szCs w:val="18"/>
        </w:rPr>
      </w:pPr>
      <w:r>
        <w:rPr>
          <w:rStyle w:val="5"/>
          <w:sz w:val="18"/>
          <w:szCs w:val="18"/>
        </w:rPr>
        <w:footnoteRef/>
      </w:r>
      <w:r>
        <w:rPr>
          <w:sz w:val="18"/>
          <w:szCs w:val="18"/>
        </w:rPr>
        <w:t xml:space="preserve"> AHMM I Gobierno Caja 3 Expediente 12 19/abril/1622 Valladolid  Alonso de la Cerda Miranda, Alguacil Mayor. </w:t>
      </w:r>
    </w:p>
  </w:footnote>
  <w:footnote w:id="12">
    <w:p>
      <w:pPr>
        <w:pStyle w:val="6"/>
        <w:jc w:val="both"/>
        <w:rPr>
          <w:sz w:val="18"/>
          <w:szCs w:val="18"/>
        </w:rPr>
      </w:pPr>
      <w:r>
        <w:rPr>
          <w:rStyle w:val="5"/>
          <w:sz w:val="18"/>
          <w:szCs w:val="18"/>
        </w:rPr>
        <w:footnoteRef/>
      </w:r>
      <w:r>
        <w:rPr>
          <w:sz w:val="18"/>
          <w:szCs w:val="18"/>
        </w:rPr>
        <w:t xml:space="preserve"> AHMM I Gobierno Caja 11 Expediente 4 29/septiembre/1624 Valladolid  Gerónimo de Aguilera, Teniente de Alcalde Mayor, contra Juan de Carrasco, arriero vecino de Colima. </w:t>
      </w:r>
    </w:p>
  </w:footnote>
  <w:footnote w:id="13">
    <w:p>
      <w:pPr>
        <w:pStyle w:val="6"/>
        <w:jc w:val="both"/>
        <w:rPr>
          <w:sz w:val="18"/>
          <w:szCs w:val="18"/>
        </w:rPr>
      </w:pPr>
      <w:r>
        <w:rPr>
          <w:rStyle w:val="5"/>
          <w:sz w:val="18"/>
          <w:szCs w:val="18"/>
        </w:rPr>
        <w:footnoteRef/>
      </w:r>
      <w:r>
        <w:rPr>
          <w:sz w:val="18"/>
          <w:szCs w:val="18"/>
        </w:rPr>
        <w:t xml:space="preserve"> AHMM I Gobierno Caja 4 Expediente 12 8/junio/1628 Valladolid  Gerónimo Madaleno de Mendoza, Alcalde ordinario de la ciudad, f. 2v. </w:t>
      </w:r>
    </w:p>
  </w:footnote>
  <w:footnote w:id="14">
    <w:p>
      <w:pPr>
        <w:pStyle w:val="6"/>
        <w:jc w:val="both"/>
        <w:rPr>
          <w:sz w:val="18"/>
          <w:szCs w:val="18"/>
        </w:rPr>
      </w:pPr>
      <w:r>
        <w:rPr>
          <w:rStyle w:val="5"/>
          <w:sz w:val="18"/>
          <w:szCs w:val="18"/>
        </w:rPr>
        <w:footnoteRef/>
      </w:r>
      <w:r>
        <w:rPr>
          <w:sz w:val="18"/>
          <w:szCs w:val="18"/>
        </w:rPr>
        <w:t xml:space="preserve"> AHMM I Gobierno Caja 4 Expediente 13 18/julio/1634 Valladolid  Francisco Blasques Dabila, Alcalde mayor de la provincia de Michoacán.</w:t>
      </w:r>
    </w:p>
  </w:footnote>
  <w:footnote w:id="15">
    <w:p>
      <w:pPr>
        <w:pStyle w:val="6"/>
        <w:jc w:val="both"/>
        <w:rPr>
          <w:sz w:val="18"/>
          <w:szCs w:val="18"/>
        </w:rPr>
      </w:pPr>
      <w:r>
        <w:rPr>
          <w:rStyle w:val="5"/>
          <w:sz w:val="18"/>
          <w:szCs w:val="18"/>
        </w:rPr>
        <w:footnoteRef/>
      </w:r>
      <w:r>
        <w:rPr>
          <w:sz w:val="18"/>
          <w:szCs w:val="18"/>
        </w:rPr>
        <w:t xml:space="preserve"> </w:t>
      </w:r>
      <w:r>
        <w:rPr>
          <w:i/>
          <w:sz w:val="18"/>
          <w:szCs w:val="18"/>
        </w:rPr>
        <w:t>Ibid.</w:t>
      </w:r>
      <w:r>
        <w:rPr>
          <w:sz w:val="18"/>
          <w:szCs w:val="18"/>
        </w:rPr>
        <w:t>, f. 4v.</w:t>
      </w:r>
    </w:p>
  </w:footnote>
  <w:footnote w:id="16">
    <w:p>
      <w:pPr>
        <w:pStyle w:val="6"/>
        <w:jc w:val="both"/>
        <w:rPr>
          <w:sz w:val="18"/>
          <w:szCs w:val="18"/>
        </w:rPr>
      </w:pPr>
      <w:r>
        <w:rPr>
          <w:rStyle w:val="5"/>
          <w:sz w:val="18"/>
          <w:szCs w:val="18"/>
        </w:rPr>
        <w:footnoteRef/>
      </w:r>
      <w:r>
        <w:rPr>
          <w:sz w:val="18"/>
          <w:szCs w:val="18"/>
        </w:rPr>
        <w:t xml:space="preserve"> AHMM I Gobierno Caja 4 Expediente 13 Visitas 16/marzo/1635 Valladolid  f. 5v.  Martín Gutiérrez Teniente de Alguacil mayor de la provincia de Michoacán contra los mercaderes Juan Sánchez Rendón y Miguel Sánchez.</w:t>
      </w:r>
    </w:p>
  </w:footnote>
  <w:footnote w:id="17">
    <w:p>
      <w:pPr>
        <w:pStyle w:val="6"/>
        <w:jc w:val="both"/>
        <w:rPr>
          <w:sz w:val="18"/>
          <w:szCs w:val="18"/>
        </w:rPr>
      </w:pPr>
      <w:r>
        <w:rPr>
          <w:rStyle w:val="5"/>
          <w:sz w:val="18"/>
          <w:szCs w:val="18"/>
        </w:rPr>
        <w:footnoteRef/>
      </w:r>
      <w:r>
        <w:rPr>
          <w:sz w:val="18"/>
          <w:szCs w:val="18"/>
        </w:rPr>
        <w:t xml:space="preserve"> Archivo Histórico “Manuel Castañeda Ramírez” (en adelante AHMCR) Fondo Diocesano/ Ramo Gobierno/ Serie Sacerdotes/Subserie Informes Caja 21 Expediente 40 s/f (circa 1670) El cura de Aranza. Se encuentra publicado en Carrillo Cázares, Alberto, </w:t>
      </w:r>
      <w:r>
        <w:rPr>
          <w:i/>
          <w:sz w:val="18"/>
          <w:szCs w:val="18"/>
        </w:rPr>
        <w:t>Michoacán en el otoño del siglo XVII</w:t>
      </w:r>
      <w:r>
        <w:rPr>
          <w:sz w:val="18"/>
          <w:szCs w:val="18"/>
        </w:rPr>
        <w:t>, Zamora, El Colegio de Michoacán, 1993,  pp. 340-341.</w:t>
      </w:r>
    </w:p>
  </w:footnote>
  <w:footnote w:id="18">
    <w:p>
      <w:pPr>
        <w:pStyle w:val="6"/>
        <w:jc w:val="both"/>
        <w:rPr>
          <w:sz w:val="18"/>
          <w:szCs w:val="18"/>
        </w:rPr>
      </w:pPr>
      <w:r>
        <w:rPr>
          <w:rStyle w:val="5"/>
          <w:sz w:val="18"/>
          <w:szCs w:val="18"/>
        </w:rPr>
        <w:footnoteRef/>
      </w:r>
      <w:r>
        <w:rPr>
          <w:sz w:val="18"/>
          <w:szCs w:val="18"/>
        </w:rPr>
        <w:t xml:space="preserve"> </w:t>
      </w:r>
      <w:r>
        <w:rPr>
          <w:i/>
          <w:sz w:val="18"/>
          <w:szCs w:val="18"/>
        </w:rPr>
        <w:t>Ibidem</w:t>
      </w:r>
      <w:r>
        <w:rPr>
          <w:sz w:val="18"/>
          <w:szCs w:val="18"/>
        </w:rPr>
        <w:t>.</w:t>
      </w:r>
    </w:p>
  </w:footnote>
  <w:footnote w:id="19">
    <w:p>
      <w:pPr>
        <w:pStyle w:val="6"/>
        <w:jc w:val="both"/>
        <w:rPr>
          <w:sz w:val="18"/>
          <w:szCs w:val="18"/>
        </w:rPr>
      </w:pPr>
      <w:r>
        <w:rPr>
          <w:rStyle w:val="5"/>
          <w:sz w:val="18"/>
          <w:szCs w:val="18"/>
        </w:rPr>
        <w:footnoteRef/>
      </w:r>
      <w:r>
        <w:rPr>
          <w:sz w:val="18"/>
          <w:szCs w:val="18"/>
        </w:rPr>
        <w:t xml:space="preserve"> Godoy, Augusto, Herrera, Teófilo y Miguel Ulloa, </w:t>
      </w:r>
      <w:r>
        <w:rPr>
          <w:i/>
          <w:sz w:val="18"/>
          <w:szCs w:val="18"/>
        </w:rPr>
        <w:t>Más allá del pulque y el tepache. Las bebidas alcoholicas no destiladas indígenas de México</w:t>
      </w:r>
      <w:r>
        <w:rPr>
          <w:sz w:val="18"/>
          <w:szCs w:val="18"/>
        </w:rPr>
        <w:t xml:space="preserve">, México, IIA-UMAM, 2003. Que sirvió de base al Dosier: “Las bebidas indígenas no destiladas de México”, en </w:t>
      </w:r>
      <w:r>
        <w:rPr>
          <w:i/>
          <w:sz w:val="18"/>
          <w:szCs w:val="18"/>
        </w:rPr>
        <w:t>Arqueología Mexicana</w:t>
      </w:r>
      <w:r>
        <w:rPr>
          <w:sz w:val="18"/>
          <w:szCs w:val="18"/>
        </w:rPr>
        <w:t>, “Las bebidas alcohólicas en el México antiguo”, México, Vol. XIX, Núm. 114, Marzo- abril, 2012, pp.  60-65.</w:t>
      </w:r>
    </w:p>
  </w:footnote>
  <w:footnote w:id="20">
    <w:p>
      <w:pPr>
        <w:pStyle w:val="6"/>
        <w:jc w:val="both"/>
        <w:rPr>
          <w:i/>
          <w:sz w:val="18"/>
          <w:szCs w:val="18"/>
        </w:rPr>
      </w:pPr>
      <w:r>
        <w:rPr>
          <w:rStyle w:val="5"/>
          <w:sz w:val="18"/>
          <w:szCs w:val="18"/>
        </w:rPr>
        <w:footnoteRef/>
      </w:r>
      <w:r>
        <w:rPr>
          <w:sz w:val="18"/>
          <w:szCs w:val="18"/>
        </w:rPr>
        <w:t xml:space="preserve"> AHMM I Gobierno Caja 10 expediente 39 Bebidas prohibidas 7/mayo/1766 </w:t>
      </w:r>
      <w:r>
        <w:rPr>
          <w:spacing w:val="-3"/>
          <w:sz w:val="18"/>
          <w:szCs w:val="18"/>
        </w:rPr>
        <w:t>El Teniente de Capitán General Don Luis Vélez de las Cuevas Cabeza de Baca, Alcalde Mayor de las ciudades y Provincia de Michoacán con el agregado de Jaso, y Teremendo.</w:t>
      </w:r>
    </w:p>
  </w:footnote>
  <w:footnote w:id="21">
    <w:p>
      <w:pPr>
        <w:pStyle w:val="6"/>
        <w:jc w:val="both"/>
        <w:rPr>
          <w:sz w:val="18"/>
          <w:szCs w:val="18"/>
        </w:rPr>
      </w:pPr>
      <w:r>
        <w:rPr>
          <w:rStyle w:val="5"/>
          <w:sz w:val="18"/>
          <w:szCs w:val="18"/>
        </w:rPr>
        <w:footnoteRef/>
      </w:r>
      <w:r>
        <w:rPr>
          <w:sz w:val="18"/>
          <w:szCs w:val="18"/>
        </w:rPr>
        <w:t xml:space="preserve"> Vásquez Meléndez, Miguel Ángel, “Las pulquerías en la vida diaria de los habitantes de la ciudad de México”, en </w:t>
      </w:r>
      <w:r>
        <w:rPr>
          <w:i/>
          <w:sz w:val="18"/>
          <w:szCs w:val="18"/>
        </w:rPr>
        <w:t>Historia de la vida cotidiana en México</w:t>
      </w:r>
      <w:r>
        <w:rPr>
          <w:sz w:val="18"/>
          <w:szCs w:val="18"/>
        </w:rPr>
        <w:t>, Vol. III., “El siglo XVIII: entre tradición y cambio”, México, FCE/El Colegio de México, 2004, pp. 76-77.</w:t>
      </w:r>
    </w:p>
  </w:footnote>
  <w:footnote w:id="22">
    <w:p>
      <w:pPr>
        <w:pStyle w:val="6"/>
        <w:jc w:val="both"/>
        <w:rPr>
          <w:sz w:val="18"/>
          <w:szCs w:val="18"/>
        </w:rPr>
      </w:pPr>
      <w:r>
        <w:rPr>
          <w:rStyle w:val="5"/>
          <w:sz w:val="18"/>
          <w:szCs w:val="18"/>
        </w:rPr>
        <w:footnoteRef/>
      </w:r>
      <w:r>
        <w:rPr>
          <w:sz w:val="18"/>
          <w:szCs w:val="18"/>
        </w:rPr>
        <w:t xml:space="preserve"> Silva Riquer, Jorge, </w:t>
      </w:r>
      <w:r>
        <w:rPr>
          <w:i/>
          <w:sz w:val="18"/>
          <w:szCs w:val="18"/>
        </w:rPr>
        <w:t>La estructura y dinámica del comercio menudo en la ciudad de Valladolid, Michoacán, a finales del siglo XVIII</w:t>
      </w:r>
      <w:r>
        <w:rPr>
          <w:sz w:val="18"/>
          <w:szCs w:val="18"/>
        </w:rPr>
        <w:t>, IIH-UMSNH/INAH, 2007, p. 75. Tomado de AHMM Legajo 135, expediente 5 Valladolid 1802.</w:t>
      </w:r>
    </w:p>
  </w:footnote>
  <w:footnote w:id="23">
    <w:p>
      <w:pPr>
        <w:pStyle w:val="6"/>
        <w:jc w:val="both"/>
        <w:rPr>
          <w:sz w:val="18"/>
          <w:szCs w:val="18"/>
        </w:rPr>
      </w:pPr>
      <w:r>
        <w:rPr>
          <w:rStyle w:val="5"/>
          <w:sz w:val="18"/>
          <w:szCs w:val="18"/>
        </w:rPr>
        <w:footnoteRef/>
      </w:r>
      <w:r>
        <w:rPr>
          <w:sz w:val="18"/>
          <w:szCs w:val="18"/>
        </w:rPr>
        <w:t xml:space="preserve"> </w:t>
      </w:r>
      <w:r>
        <w:rPr>
          <w:i/>
          <w:sz w:val="18"/>
          <w:szCs w:val="18"/>
        </w:rPr>
        <w:t>Ibid.</w:t>
      </w:r>
      <w:r>
        <w:rPr>
          <w:sz w:val="18"/>
          <w:szCs w:val="18"/>
        </w:rPr>
        <w:t>, pp. 105-106.</w:t>
      </w:r>
    </w:p>
  </w:footnote>
  <w:footnote w:id="24">
    <w:p>
      <w:pPr>
        <w:pStyle w:val="6"/>
        <w:jc w:val="both"/>
        <w:rPr>
          <w:i/>
          <w:sz w:val="18"/>
          <w:szCs w:val="18"/>
        </w:rPr>
      </w:pPr>
      <w:r>
        <w:rPr>
          <w:rStyle w:val="5"/>
          <w:sz w:val="18"/>
          <w:szCs w:val="18"/>
        </w:rPr>
        <w:footnoteRef/>
      </w:r>
      <w:r>
        <w:rPr>
          <w:sz w:val="18"/>
          <w:szCs w:val="18"/>
        </w:rPr>
        <w:t xml:space="preserve"> AHMM I Gobierno Caja 10 expediente 39 Bebidas prohibidas 7/mayo/1766 </w:t>
      </w:r>
      <w:r>
        <w:rPr>
          <w:spacing w:val="-3"/>
          <w:sz w:val="18"/>
          <w:szCs w:val="18"/>
        </w:rPr>
        <w:t>El Teniente de Capitán General Don Luis Vélez de las Cuevas Cabeza de Baca, Alcalde Mayor de las ciudades y Provincia de Michoacán con el agregado de Jaso, y Teremendo.</w:t>
      </w:r>
    </w:p>
  </w:footnote>
  <w:footnote w:id="25">
    <w:p>
      <w:pPr>
        <w:pStyle w:val="13"/>
        <w:spacing w:after="0"/>
        <w:jc w:val="both"/>
        <w:rPr>
          <w:spacing w:val="-3"/>
          <w:sz w:val="18"/>
          <w:szCs w:val="18"/>
        </w:rPr>
      </w:pPr>
      <w:r>
        <w:rPr>
          <w:rStyle w:val="5"/>
          <w:sz w:val="18"/>
          <w:szCs w:val="18"/>
        </w:rPr>
        <w:footnoteRef/>
      </w:r>
      <w:r>
        <w:rPr>
          <w:sz w:val="18"/>
          <w:szCs w:val="18"/>
        </w:rPr>
        <w:t xml:space="preserve"> </w:t>
      </w:r>
      <w:r>
        <w:rPr>
          <w:spacing w:val="-2"/>
          <w:sz w:val="18"/>
          <w:szCs w:val="18"/>
        </w:rPr>
        <w:t>AHMM III Justicia Caja 188 Expediente 28 Bebidas prohibidas Valladolid  24/septiembre/1773.</w:t>
      </w:r>
    </w:p>
  </w:footnote>
  <w:footnote w:id="26">
    <w:p>
      <w:pPr>
        <w:tabs>
          <w:tab w:val="left" w:pos="-720"/>
        </w:tabs>
        <w:spacing w:line="240" w:lineRule="atLeast"/>
        <w:jc w:val="both"/>
        <w:rPr>
          <w:sz w:val="18"/>
          <w:szCs w:val="18"/>
        </w:rPr>
      </w:pPr>
      <w:r>
        <w:rPr>
          <w:rStyle w:val="5"/>
          <w:sz w:val="18"/>
          <w:szCs w:val="18"/>
        </w:rPr>
        <w:footnoteRef/>
      </w:r>
      <w:r>
        <w:rPr>
          <w:sz w:val="18"/>
          <w:szCs w:val="18"/>
        </w:rPr>
        <w:t xml:space="preserve"> AHMM I Gobierno Caja 10 expediente 39 Bebidas prohibidas 7/mayo/1766 </w:t>
      </w:r>
      <w:r>
        <w:rPr>
          <w:spacing w:val="-3"/>
          <w:sz w:val="18"/>
          <w:szCs w:val="18"/>
        </w:rPr>
        <w:t>El Teniente de Capitán General Don Luis Vélez de las Cuevas Cabeza de Baca, Alcalde Mayor de las ciudades y Provincia de Michoacán con el agregado de Jaso y Teremendo.</w:t>
      </w:r>
    </w:p>
  </w:footnote>
  <w:footnote w:id="27">
    <w:p>
      <w:pPr>
        <w:pStyle w:val="6"/>
        <w:jc w:val="both"/>
        <w:rPr>
          <w:sz w:val="18"/>
          <w:szCs w:val="18"/>
        </w:rPr>
      </w:pPr>
      <w:r>
        <w:rPr>
          <w:rStyle w:val="5"/>
          <w:sz w:val="18"/>
          <w:szCs w:val="18"/>
        </w:rPr>
        <w:footnoteRef/>
      </w:r>
      <w:r>
        <w:rPr>
          <w:sz w:val="18"/>
          <w:szCs w:val="18"/>
        </w:rPr>
        <w:t xml:space="preserve"> Florescano, Enrique y Gil, S. I. “La época de las reformas borbónicas y el crecimiento económico, 1750-1808” en </w:t>
      </w:r>
      <w:r>
        <w:rPr>
          <w:i/>
          <w:sz w:val="18"/>
          <w:szCs w:val="18"/>
        </w:rPr>
        <w:t>Historia general de México</w:t>
      </w:r>
      <w:r>
        <w:rPr>
          <w:sz w:val="18"/>
          <w:szCs w:val="18"/>
        </w:rPr>
        <w:t>, Tomo 2, México, El Colegio de México, 1976, p. 271</w:t>
      </w:r>
    </w:p>
  </w:footnote>
  <w:footnote w:id="28">
    <w:p>
      <w:pPr>
        <w:pStyle w:val="13"/>
        <w:spacing w:after="0"/>
        <w:jc w:val="both"/>
        <w:rPr>
          <w:sz w:val="18"/>
          <w:szCs w:val="18"/>
        </w:rPr>
      </w:pPr>
      <w:r>
        <w:rPr>
          <w:rStyle w:val="5"/>
          <w:sz w:val="18"/>
          <w:szCs w:val="18"/>
        </w:rPr>
        <w:footnoteRef/>
      </w:r>
      <w:r>
        <w:rPr>
          <w:sz w:val="18"/>
          <w:szCs w:val="18"/>
        </w:rPr>
        <w:t xml:space="preserve"> Luna Zamora, Rogelio, </w:t>
      </w:r>
      <w:r>
        <w:rPr>
          <w:i/>
          <w:sz w:val="18"/>
          <w:szCs w:val="18"/>
        </w:rPr>
        <w:t>La historia del tequila, de sus regiones y sus hombres</w:t>
      </w:r>
      <w:r>
        <w:rPr>
          <w:sz w:val="18"/>
          <w:szCs w:val="18"/>
        </w:rPr>
        <w:t xml:space="preserve">, México, CNCA, 1991,  p. 43. Sobre los aguardientes en la Nueva España véase: Hernández Palomo, José Jesús, </w:t>
      </w:r>
      <w:r>
        <w:rPr>
          <w:i/>
          <w:iCs/>
          <w:sz w:val="18"/>
          <w:szCs w:val="18"/>
        </w:rPr>
        <w:t>El aguardiente de caña en México (1724-1810)</w:t>
      </w:r>
      <w:r>
        <w:rPr>
          <w:sz w:val="18"/>
          <w:szCs w:val="18"/>
        </w:rPr>
        <w:t>, Sevilla, Escuela de Estudios Hispanoamericanos, 1974.</w:t>
      </w:r>
    </w:p>
  </w:footnote>
  <w:footnote w:id="29">
    <w:p>
      <w:pPr>
        <w:pStyle w:val="6"/>
        <w:jc w:val="both"/>
        <w:rPr>
          <w:i/>
          <w:sz w:val="18"/>
          <w:szCs w:val="18"/>
        </w:rPr>
      </w:pPr>
      <w:r>
        <w:rPr>
          <w:rStyle w:val="5"/>
          <w:sz w:val="18"/>
          <w:szCs w:val="18"/>
        </w:rPr>
        <w:footnoteRef/>
      </w:r>
      <w:r>
        <w:rPr>
          <w:sz w:val="18"/>
          <w:szCs w:val="18"/>
        </w:rPr>
        <w:t xml:space="preserve"> AHMM I Gobierno Caja 10 expediente 39 Bebidas prohibidas 7/mayo/1766 </w:t>
      </w:r>
      <w:r>
        <w:rPr>
          <w:spacing w:val="-3"/>
          <w:sz w:val="18"/>
          <w:szCs w:val="18"/>
        </w:rPr>
        <w:t>El Teniente de Capitán General Don Luis Vélez de las Cuevas Cabeza de Baca, Alcalde Mayor de las ciudades y Provincia de Michoacán con el agregado de Jaso y Teremendo.</w:t>
      </w:r>
    </w:p>
  </w:footnote>
  <w:footnote w:id="30">
    <w:p>
      <w:pPr>
        <w:tabs>
          <w:tab w:val="left" w:pos="-720"/>
        </w:tabs>
        <w:spacing w:line="240" w:lineRule="atLeast"/>
        <w:jc w:val="both"/>
        <w:rPr>
          <w:spacing w:val="-2"/>
          <w:sz w:val="18"/>
          <w:szCs w:val="18"/>
        </w:rPr>
      </w:pPr>
      <w:r>
        <w:rPr>
          <w:rStyle w:val="5"/>
          <w:sz w:val="18"/>
          <w:szCs w:val="18"/>
        </w:rPr>
        <w:footnoteRef/>
      </w:r>
      <w:r>
        <w:rPr>
          <w:sz w:val="18"/>
          <w:szCs w:val="18"/>
        </w:rPr>
        <w:t xml:space="preserve"> AHMM I Gobierno Caja 11 Expediente 54  9/mayo/1805 Valladolid Juan Navarro, del Consejo de Hacienda, Director General de Rentas a </w:t>
      </w:r>
      <w:r>
        <w:rPr>
          <w:spacing w:val="-3"/>
          <w:sz w:val="18"/>
          <w:szCs w:val="18"/>
        </w:rPr>
        <w:t>Vicente Venegas Administrador de las Reales Alcabalas, de Pulques y Aguardientes de Caña, de Valladolid, su jurisdicción, y la de Cuitzeo de la Laguna.</w:t>
      </w:r>
    </w:p>
  </w:footnote>
  <w:footnote w:id="31">
    <w:p>
      <w:pPr>
        <w:pStyle w:val="6"/>
        <w:jc w:val="both"/>
        <w:rPr>
          <w:sz w:val="18"/>
          <w:szCs w:val="18"/>
        </w:rPr>
      </w:pPr>
      <w:r>
        <w:rPr>
          <w:rStyle w:val="5"/>
          <w:sz w:val="18"/>
          <w:szCs w:val="18"/>
        </w:rPr>
        <w:footnoteRef/>
      </w:r>
      <w:r>
        <w:rPr>
          <w:sz w:val="18"/>
          <w:szCs w:val="18"/>
        </w:rPr>
        <w:t xml:space="preserve"> Taylor, William B., </w:t>
      </w:r>
      <w:r>
        <w:rPr>
          <w:i/>
          <w:sz w:val="18"/>
          <w:szCs w:val="18"/>
        </w:rPr>
        <w:t>Embriaguez, homicidio y rebelión en las poblaciones coloniales mexicanas</w:t>
      </w:r>
      <w:r>
        <w:rPr>
          <w:sz w:val="18"/>
          <w:szCs w:val="18"/>
        </w:rPr>
        <w:t>, México, FCE, 1987, pp. 60-61.</w:t>
      </w:r>
    </w:p>
  </w:footnote>
  <w:footnote w:id="32">
    <w:p>
      <w:pPr>
        <w:pStyle w:val="25"/>
        <w:spacing w:before="0" w:after="0"/>
        <w:jc w:val="both"/>
        <w:rPr>
          <w:sz w:val="18"/>
          <w:szCs w:val="18"/>
        </w:rPr>
      </w:pPr>
      <w:r>
        <w:rPr>
          <w:rStyle w:val="5"/>
          <w:sz w:val="18"/>
          <w:szCs w:val="18"/>
        </w:rPr>
        <w:footnoteRef/>
      </w:r>
      <w:r>
        <w:rPr>
          <w:sz w:val="18"/>
          <w:szCs w:val="18"/>
        </w:rPr>
        <w:t xml:space="preserve"> Bourdieu, Pierre, </w:t>
      </w:r>
      <w:r>
        <w:rPr>
          <w:i/>
          <w:sz w:val="18"/>
          <w:szCs w:val="18"/>
        </w:rPr>
        <w:t>El gusto. Las bases sociales del gusto</w:t>
      </w:r>
      <w:r>
        <w:rPr>
          <w:sz w:val="18"/>
          <w:szCs w:val="18"/>
        </w:rPr>
        <w:t>,  México, Siglo XXI, 2010.</w:t>
      </w:r>
      <w:r>
        <w:rPr>
          <w:bCs/>
          <w:color w:val="333333"/>
          <w:sz w:val="18"/>
          <w:szCs w:val="18"/>
        </w:rPr>
        <w:t xml:space="preserve"> </w:t>
      </w:r>
      <w:r>
        <w:rPr>
          <w:rStyle w:val="26"/>
          <w:bCs/>
          <w:color w:val="333333"/>
          <w:sz w:val="18"/>
          <w:szCs w:val="18"/>
        </w:rPr>
        <w:t xml:space="preserve">Bourdieu, Pierre, </w:t>
      </w:r>
      <w:r>
        <w:rPr>
          <w:rStyle w:val="26"/>
          <w:bCs/>
          <w:i/>
          <w:color w:val="333333"/>
          <w:sz w:val="18"/>
          <w:szCs w:val="18"/>
        </w:rPr>
        <w:t>La distinción. Criterios y bases sociales del gusto</w:t>
      </w:r>
      <w:r>
        <w:rPr>
          <w:rStyle w:val="26"/>
          <w:bCs/>
          <w:color w:val="333333"/>
          <w:sz w:val="18"/>
          <w:szCs w:val="18"/>
        </w:rPr>
        <w:t>, Madrid, Taurus, 1988.</w:t>
      </w:r>
    </w:p>
  </w:footnote>
  <w:footnote w:id="33">
    <w:p>
      <w:pPr>
        <w:pStyle w:val="6"/>
        <w:jc w:val="both"/>
        <w:rPr>
          <w:sz w:val="18"/>
          <w:szCs w:val="18"/>
        </w:rPr>
      </w:pPr>
      <w:r>
        <w:rPr>
          <w:rStyle w:val="5"/>
          <w:sz w:val="18"/>
          <w:szCs w:val="18"/>
        </w:rPr>
        <w:footnoteRef/>
      </w:r>
      <w:r>
        <w:rPr>
          <w:sz w:val="18"/>
          <w:szCs w:val="18"/>
        </w:rPr>
        <w:t xml:space="preserve"> AHMM III Justicia caja 188 Expediente 36 Bebidas prohibidas Valladolid 29/diciembre/1782 contra </w:t>
      </w:r>
      <w:r>
        <w:rPr>
          <w:spacing w:val="-2"/>
          <w:sz w:val="18"/>
          <w:szCs w:val="18"/>
        </w:rPr>
        <w:t>José Guillermo conocido por Picucua.</w:t>
      </w:r>
    </w:p>
  </w:footnote>
  <w:footnote w:id="34">
    <w:p>
      <w:pPr>
        <w:pStyle w:val="6"/>
        <w:jc w:val="both"/>
        <w:rPr>
          <w:sz w:val="18"/>
          <w:szCs w:val="18"/>
        </w:rPr>
      </w:pPr>
      <w:r>
        <w:rPr>
          <w:rStyle w:val="5"/>
          <w:sz w:val="18"/>
          <w:szCs w:val="18"/>
        </w:rPr>
        <w:footnoteRef/>
      </w:r>
      <w:r>
        <w:rPr>
          <w:sz w:val="18"/>
          <w:szCs w:val="18"/>
        </w:rPr>
        <w:t xml:space="preserve">Gschaedler Mathix, Anne Christine, Gallardo Valdez, Juan y Socorro Villanueva Rodríguez, “El proceso de elaboración de mezcal en el estado de Michoacán” en Gallardo Valdez, Juan (Coordinador), </w:t>
      </w:r>
      <w:r>
        <w:rPr>
          <w:i/>
          <w:sz w:val="18"/>
          <w:szCs w:val="18"/>
        </w:rPr>
        <w:t>La producción e mezcal en el estado de Michoacán</w:t>
      </w:r>
      <w:r>
        <w:rPr>
          <w:sz w:val="18"/>
          <w:szCs w:val="18"/>
        </w:rPr>
        <w:t>, Morelia, CONACYT/ CIATEJ/ Secretaría de Desarrollo Rural-Gobierno de Michoacán, 2008,  pp.  75-90.</w:t>
      </w:r>
    </w:p>
  </w:footnote>
  <w:footnote w:id="35">
    <w:p>
      <w:pPr>
        <w:pStyle w:val="13"/>
        <w:spacing w:after="0"/>
        <w:jc w:val="both"/>
        <w:rPr>
          <w:sz w:val="18"/>
          <w:szCs w:val="18"/>
        </w:rPr>
      </w:pPr>
      <w:r>
        <w:rPr>
          <w:rStyle w:val="5"/>
          <w:sz w:val="18"/>
          <w:szCs w:val="18"/>
        </w:rPr>
        <w:footnoteRef/>
      </w:r>
      <w:r>
        <w:rPr>
          <w:sz w:val="18"/>
          <w:szCs w:val="18"/>
        </w:rPr>
        <w:t xml:space="preserve"> AHMM III Justicia Caja 188 Expediente 28 Bebidas prohibidas 24/septiembre/1773 Valladolid contra Marzelino Cornelio de Uribe y Joseph Morras por expendedores de Chinguirito. Podemos comparar con otras partes de Nueva España en: Lozano Armendárez, Teresa, </w:t>
      </w:r>
      <w:r>
        <w:rPr>
          <w:i/>
          <w:iCs/>
          <w:sz w:val="18"/>
          <w:szCs w:val="18"/>
        </w:rPr>
        <w:t>El chinguirito vindicado. El contrabando de aguardiente de caña y la política colonial</w:t>
      </w:r>
      <w:r>
        <w:rPr>
          <w:sz w:val="18"/>
          <w:szCs w:val="18"/>
        </w:rPr>
        <w:t>, México, UNAM, 1995.</w:t>
      </w:r>
    </w:p>
  </w:footnote>
  <w:footnote w:id="36">
    <w:p>
      <w:pPr>
        <w:pStyle w:val="6"/>
        <w:jc w:val="both"/>
        <w:rPr>
          <w:sz w:val="18"/>
          <w:szCs w:val="18"/>
        </w:rPr>
      </w:pPr>
      <w:r>
        <w:rPr>
          <w:rStyle w:val="5"/>
          <w:sz w:val="18"/>
          <w:szCs w:val="18"/>
        </w:rPr>
        <w:footnoteRef/>
      </w:r>
      <w:r>
        <w:rPr>
          <w:sz w:val="18"/>
          <w:szCs w:val="18"/>
        </w:rPr>
        <w:t xml:space="preserve"> Como lo demuestran  incluso los casos extremos de Estados Unidos, Sudáfrica y la Alemania Nazi. Van Den Berghe, Pierre L., </w:t>
      </w:r>
      <w:r>
        <w:rPr>
          <w:i/>
          <w:sz w:val="18"/>
          <w:szCs w:val="18"/>
        </w:rPr>
        <w:t>Problemas raciales</w:t>
      </w:r>
      <w:r>
        <w:rPr>
          <w:sz w:val="18"/>
          <w:szCs w:val="18"/>
        </w:rPr>
        <w:t xml:space="preserve">, México FCE,  1976, pp.  130-159,160-184. Lefort, René, </w:t>
      </w:r>
      <w:r>
        <w:rPr>
          <w:i/>
          <w:sz w:val="18"/>
          <w:szCs w:val="18"/>
        </w:rPr>
        <w:t>Sudáfrica, historia de una crisis</w:t>
      </w:r>
      <w:r>
        <w:rPr>
          <w:sz w:val="18"/>
          <w:szCs w:val="18"/>
        </w:rPr>
        <w:t>, México, Siglo XXI, 1978.</w:t>
      </w:r>
    </w:p>
  </w:footnote>
  <w:footnote w:id="37">
    <w:p>
      <w:pPr>
        <w:pStyle w:val="6"/>
        <w:jc w:val="both"/>
        <w:rPr>
          <w:sz w:val="18"/>
          <w:szCs w:val="18"/>
        </w:rPr>
      </w:pPr>
      <w:r>
        <w:rPr>
          <w:rStyle w:val="5"/>
          <w:sz w:val="18"/>
          <w:szCs w:val="18"/>
        </w:rPr>
        <w:footnoteRef/>
      </w:r>
      <w:r>
        <w:rPr>
          <w:sz w:val="18"/>
          <w:szCs w:val="18"/>
        </w:rPr>
        <w:t xml:space="preserve"> Paredes Martínez, Carlos (editor), </w:t>
      </w:r>
      <w:r>
        <w:rPr>
          <w:i/>
          <w:sz w:val="18"/>
          <w:szCs w:val="18"/>
        </w:rPr>
        <w:t>…Y por mi visto. Mandamientos, ordenanzas, licencias y otras disposiciones virreinales sobre Michoacán en el siglo XVI</w:t>
      </w:r>
      <w:r>
        <w:rPr>
          <w:sz w:val="18"/>
          <w:szCs w:val="18"/>
        </w:rPr>
        <w:t>, México, CIESAS/IIH-UMSNH, 1994, p. 88. Michoacán 10 de febrero de 1552.</w:t>
      </w:r>
    </w:p>
  </w:footnote>
  <w:footnote w:id="38">
    <w:p>
      <w:pPr>
        <w:pStyle w:val="6"/>
        <w:jc w:val="both"/>
        <w:rPr>
          <w:sz w:val="18"/>
          <w:szCs w:val="18"/>
        </w:rPr>
      </w:pPr>
      <w:r>
        <w:rPr>
          <w:rStyle w:val="5"/>
          <w:sz w:val="18"/>
          <w:szCs w:val="18"/>
        </w:rPr>
        <w:footnoteRef/>
      </w:r>
      <w:r>
        <w:rPr>
          <w:sz w:val="18"/>
          <w:szCs w:val="18"/>
        </w:rPr>
        <w:t xml:space="preserve"> </w:t>
      </w:r>
      <w:r>
        <w:rPr>
          <w:i/>
          <w:sz w:val="18"/>
          <w:szCs w:val="18"/>
        </w:rPr>
        <w:t>Ibid.</w:t>
      </w:r>
      <w:r>
        <w:rPr>
          <w:sz w:val="18"/>
          <w:szCs w:val="18"/>
        </w:rPr>
        <w:t>, p. 116.  Tiripetío 21/junio/1552.</w:t>
      </w:r>
    </w:p>
  </w:footnote>
  <w:footnote w:id="39">
    <w:p>
      <w:pPr>
        <w:pStyle w:val="6"/>
        <w:jc w:val="both"/>
        <w:rPr>
          <w:sz w:val="18"/>
          <w:szCs w:val="18"/>
        </w:rPr>
      </w:pPr>
      <w:r>
        <w:rPr>
          <w:rStyle w:val="5"/>
          <w:sz w:val="18"/>
          <w:szCs w:val="18"/>
        </w:rPr>
        <w:footnoteRef/>
      </w:r>
      <w:r>
        <w:rPr>
          <w:sz w:val="18"/>
          <w:szCs w:val="18"/>
        </w:rPr>
        <w:t xml:space="preserve"> </w:t>
      </w:r>
      <w:r>
        <w:rPr>
          <w:i/>
          <w:sz w:val="18"/>
          <w:szCs w:val="18"/>
        </w:rPr>
        <w:t>Ibid.</w:t>
      </w:r>
      <w:r>
        <w:rPr>
          <w:sz w:val="18"/>
          <w:szCs w:val="18"/>
        </w:rPr>
        <w:t>, p. 156.  Maravatío 4/septiembre/ 1553.</w:t>
      </w:r>
    </w:p>
  </w:footnote>
  <w:footnote w:id="40">
    <w:p>
      <w:pPr>
        <w:pStyle w:val="6"/>
        <w:jc w:val="both"/>
        <w:rPr>
          <w:sz w:val="18"/>
          <w:szCs w:val="18"/>
        </w:rPr>
      </w:pPr>
      <w:r>
        <w:rPr>
          <w:rStyle w:val="5"/>
          <w:sz w:val="18"/>
          <w:szCs w:val="18"/>
        </w:rPr>
        <w:footnoteRef/>
      </w:r>
      <w:r>
        <w:rPr>
          <w:sz w:val="18"/>
          <w:szCs w:val="18"/>
        </w:rPr>
        <w:t xml:space="preserve"> Martínez Ayala, Jorge Amós, </w:t>
      </w:r>
      <w:r>
        <w:rPr>
          <w:i/>
          <w:sz w:val="18"/>
          <w:szCs w:val="18"/>
        </w:rPr>
        <w:t>¡Ése negro ni necesita máscara! Danzas de negritos en 4 pueblos de Michoacán. Historia, tradición y corporalidad</w:t>
      </w:r>
      <w:r>
        <w:rPr>
          <w:sz w:val="18"/>
          <w:szCs w:val="18"/>
        </w:rPr>
        <w:t>, Morelia, FH-UMSNH, 2011.</w:t>
      </w:r>
    </w:p>
  </w:footnote>
  <w:footnote w:id="41">
    <w:p>
      <w:pPr>
        <w:pStyle w:val="6"/>
        <w:jc w:val="both"/>
        <w:rPr>
          <w:sz w:val="18"/>
          <w:szCs w:val="18"/>
        </w:rPr>
      </w:pPr>
      <w:r>
        <w:rPr>
          <w:rStyle w:val="5"/>
          <w:sz w:val="18"/>
          <w:szCs w:val="18"/>
        </w:rPr>
        <w:footnoteRef/>
      </w:r>
      <w:r>
        <w:rPr>
          <w:sz w:val="18"/>
          <w:szCs w:val="18"/>
        </w:rPr>
        <w:t xml:space="preserve">AHMM III Justicia Caja 184 Expediente 15 Acuitzio 1776.  AHMM I Gobierno Caja 16 Expediente 19 Xicalán 1808.  AHMM Justicia Caja 184 Expediente 7 Parangaricutiro 1765 La república pide la expulsión de Miguel Sanabria, coyote, que tiene los títulos primordiales del pueblo. Castro Gutiérrez, Felipe, </w:t>
      </w:r>
      <w:r>
        <w:rPr>
          <w:i/>
          <w:sz w:val="18"/>
          <w:szCs w:val="18"/>
        </w:rPr>
        <w:t>Los tarascos y el imperio español 1600-1740</w:t>
      </w:r>
      <w:r>
        <w:rPr>
          <w:sz w:val="18"/>
          <w:szCs w:val="18"/>
        </w:rPr>
        <w:t>, México, UNAM/IIH-UMSNH, 2004, p. 170. Tomado de AGN Indios v. 14 exp. 105, ff. 104-105v.</w:t>
      </w:r>
    </w:p>
  </w:footnote>
  <w:footnote w:id="42">
    <w:p>
      <w:pPr>
        <w:pStyle w:val="6"/>
        <w:jc w:val="both"/>
        <w:rPr>
          <w:sz w:val="18"/>
          <w:szCs w:val="18"/>
        </w:rPr>
      </w:pPr>
      <w:r>
        <w:rPr>
          <w:rStyle w:val="5"/>
          <w:sz w:val="18"/>
          <w:szCs w:val="18"/>
        </w:rPr>
        <w:footnoteRef/>
      </w:r>
      <w:r>
        <w:rPr>
          <w:sz w:val="18"/>
          <w:szCs w:val="18"/>
        </w:rPr>
        <w:t xml:space="preserve"> AHMM I Gobierno Caja 13 Expediente 21 Acuitzio 19/septiembre/1804  ff. 25-25v. El subdelegado de Tiripetío Valentín Hernández.</w:t>
      </w:r>
    </w:p>
  </w:footnote>
  <w:footnote w:id="43">
    <w:p>
      <w:pPr>
        <w:pStyle w:val="6"/>
        <w:jc w:val="both"/>
        <w:rPr>
          <w:sz w:val="18"/>
          <w:szCs w:val="18"/>
        </w:rPr>
      </w:pPr>
      <w:r>
        <w:rPr>
          <w:rStyle w:val="5"/>
          <w:sz w:val="18"/>
          <w:szCs w:val="18"/>
        </w:rPr>
        <w:footnoteRef/>
      </w:r>
      <w:r>
        <w:rPr>
          <w:sz w:val="18"/>
          <w:szCs w:val="18"/>
        </w:rPr>
        <w:t xml:space="preserve"> AHMM I Gobierno Caja 11 Expediente 8 Impreso 25/agosto/1773.</w:t>
      </w:r>
    </w:p>
  </w:footnote>
  <w:footnote w:id="44">
    <w:p>
      <w:pPr>
        <w:pStyle w:val="6"/>
        <w:jc w:val="both"/>
        <w:rPr>
          <w:sz w:val="18"/>
          <w:szCs w:val="18"/>
        </w:rPr>
      </w:pPr>
      <w:r>
        <w:rPr>
          <w:rStyle w:val="5"/>
          <w:sz w:val="18"/>
          <w:szCs w:val="18"/>
        </w:rPr>
        <w:footnoteRef/>
      </w:r>
      <w:r>
        <w:rPr>
          <w:sz w:val="18"/>
          <w:szCs w:val="18"/>
        </w:rPr>
        <w:t xml:space="preserve"> AHMM III Justicia Caja 114 Expediente 12 Cherán 1809.</w:t>
      </w:r>
    </w:p>
  </w:footnote>
  <w:footnote w:id="45">
    <w:p>
      <w:pPr>
        <w:pStyle w:val="6"/>
        <w:jc w:val="both"/>
        <w:rPr>
          <w:sz w:val="18"/>
          <w:szCs w:val="18"/>
        </w:rPr>
      </w:pPr>
      <w:r>
        <w:rPr>
          <w:rStyle w:val="5"/>
          <w:sz w:val="18"/>
          <w:szCs w:val="18"/>
        </w:rPr>
        <w:footnoteRef/>
      </w:r>
      <w:r>
        <w:rPr>
          <w:sz w:val="18"/>
          <w:szCs w:val="18"/>
        </w:rPr>
        <w:t xml:space="preserve"> AHMM III Justicia Caja 172 Expediente 27 San Andrés Tziróndaro1766.</w:t>
      </w:r>
    </w:p>
  </w:footnote>
  <w:footnote w:id="46">
    <w:p>
      <w:pPr>
        <w:pStyle w:val="6"/>
        <w:jc w:val="both"/>
        <w:rPr>
          <w:sz w:val="18"/>
          <w:szCs w:val="18"/>
        </w:rPr>
      </w:pPr>
      <w:r>
        <w:rPr>
          <w:rStyle w:val="5"/>
          <w:sz w:val="18"/>
          <w:szCs w:val="18"/>
        </w:rPr>
        <w:footnoteRef/>
      </w:r>
      <w:r>
        <w:rPr>
          <w:sz w:val="18"/>
          <w:szCs w:val="18"/>
        </w:rPr>
        <w:t xml:space="preserve"> AHMM I Gobierno Caja 49 Expediente 20 Uruapan 1797.</w:t>
      </w:r>
    </w:p>
  </w:footnote>
  <w:footnote w:id="47">
    <w:p>
      <w:pPr>
        <w:pStyle w:val="6"/>
        <w:jc w:val="both"/>
        <w:rPr>
          <w:sz w:val="18"/>
          <w:szCs w:val="18"/>
        </w:rPr>
      </w:pPr>
      <w:r>
        <w:rPr>
          <w:rStyle w:val="5"/>
          <w:sz w:val="18"/>
          <w:szCs w:val="18"/>
        </w:rPr>
        <w:footnoteRef/>
      </w:r>
      <w:r>
        <w:rPr>
          <w:sz w:val="18"/>
          <w:szCs w:val="18"/>
        </w:rPr>
        <w:t xml:space="preserve"> AHMM I Gobierno Caja 49 Expediente 7 Uruapan 1761.</w:t>
      </w:r>
    </w:p>
  </w:footnote>
  <w:footnote w:id="48">
    <w:p>
      <w:pPr>
        <w:pStyle w:val="6"/>
        <w:jc w:val="both"/>
        <w:rPr>
          <w:sz w:val="18"/>
          <w:szCs w:val="18"/>
        </w:rPr>
      </w:pPr>
      <w:r>
        <w:rPr>
          <w:rStyle w:val="5"/>
          <w:sz w:val="18"/>
          <w:szCs w:val="18"/>
        </w:rPr>
        <w:footnoteRef/>
      </w:r>
      <w:r>
        <w:rPr>
          <w:sz w:val="18"/>
          <w:szCs w:val="18"/>
        </w:rPr>
        <w:t xml:space="preserve"> Biblioteca “Luis González”, Zamora, El Colegio de Michoacán, Fondo Francisco Alvarado: “Testimonio de los títulos de tierra y agua de la comunidad de indígenas del pueblo de San Francisco Uruapan”, f. 2v. Es la copia, probablemente falsificada en la época colonial, pues aparecen como testigos Hernán Cortés y el virrey Antonio de Mendoza el 5/enero/1530, la cual fue presentada en un testimonio en Morelia, en 1866, para evitar el reparto de tierras de comunidad. </w:t>
      </w:r>
    </w:p>
  </w:footnote>
  <w:footnote w:id="49">
    <w:p>
      <w:pPr>
        <w:pStyle w:val="6"/>
        <w:jc w:val="both"/>
        <w:rPr>
          <w:sz w:val="18"/>
          <w:szCs w:val="18"/>
        </w:rPr>
      </w:pPr>
      <w:r>
        <w:rPr>
          <w:rStyle w:val="5"/>
          <w:sz w:val="18"/>
          <w:szCs w:val="18"/>
        </w:rPr>
        <w:footnoteRef/>
      </w:r>
      <w:r>
        <w:rPr>
          <w:sz w:val="18"/>
          <w:szCs w:val="18"/>
        </w:rPr>
        <w:t xml:space="preserve"> AHMM III Justicia Caja 173 Expediente 11 Nahuatzen 20/abril/1777,  ff.  22, 22 v., 28 v.</w:t>
      </w:r>
    </w:p>
  </w:footnote>
  <w:footnote w:id="50">
    <w:p>
      <w:pPr>
        <w:tabs>
          <w:tab w:val="left" w:pos="-720"/>
        </w:tabs>
        <w:jc w:val="both"/>
        <w:rPr>
          <w:spacing w:val="-3"/>
          <w:sz w:val="18"/>
          <w:szCs w:val="18"/>
        </w:rPr>
      </w:pPr>
      <w:r>
        <w:rPr>
          <w:rStyle w:val="5"/>
          <w:sz w:val="18"/>
          <w:szCs w:val="18"/>
        </w:rPr>
        <w:footnoteRef/>
      </w:r>
      <w:r>
        <w:rPr>
          <w:sz w:val="18"/>
          <w:szCs w:val="18"/>
        </w:rPr>
        <w:t xml:space="preserve"> AHMM I Gobierno Caja 16 Expediente 19 Xicalán 9/enero/1808 ff. 16-16v.  Declaración de José María Mendoza, comerciante de Uruapan, comparte la opinión con don José Manuel Buen Rostro, Subdelegado del Partido y don Pedro Velázaquez, Juez.</w:t>
      </w:r>
    </w:p>
  </w:footnote>
  <w:footnote w:id="51">
    <w:p>
      <w:pPr>
        <w:pStyle w:val="6"/>
        <w:jc w:val="both"/>
        <w:rPr>
          <w:sz w:val="18"/>
          <w:szCs w:val="18"/>
        </w:rPr>
      </w:pPr>
      <w:r>
        <w:rPr>
          <w:rStyle w:val="5"/>
          <w:sz w:val="18"/>
          <w:szCs w:val="18"/>
        </w:rPr>
        <w:footnoteRef/>
      </w:r>
      <w:r>
        <w:rPr>
          <w:sz w:val="18"/>
          <w:szCs w:val="18"/>
        </w:rPr>
        <w:t xml:space="preserve"> Castro Gutiérrez, </w:t>
      </w:r>
      <w:r>
        <w:rPr>
          <w:i/>
          <w:sz w:val="18"/>
          <w:szCs w:val="18"/>
        </w:rPr>
        <w:t>Op. Cit.</w:t>
      </w:r>
      <w:r>
        <w:rPr>
          <w:sz w:val="18"/>
          <w:szCs w:val="18"/>
        </w:rPr>
        <w:t>, p. 167. En Archivo de Notarías de Michoacán  v. 14 ff. 511-534.</w:t>
      </w:r>
    </w:p>
  </w:footnote>
  <w:footnote w:id="52">
    <w:p>
      <w:pPr>
        <w:pStyle w:val="6"/>
        <w:jc w:val="both"/>
        <w:rPr>
          <w:sz w:val="18"/>
          <w:szCs w:val="18"/>
        </w:rPr>
      </w:pPr>
      <w:r>
        <w:rPr>
          <w:rStyle w:val="5"/>
          <w:sz w:val="18"/>
          <w:szCs w:val="18"/>
        </w:rPr>
        <w:footnoteRef/>
      </w:r>
      <w:r>
        <w:rPr>
          <w:sz w:val="18"/>
          <w:szCs w:val="18"/>
        </w:rPr>
        <w:t xml:space="preserve"> Ginzburg, Carlo, “El inquisidor como antropólogo”, en </w:t>
      </w:r>
      <w:r>
        <w:rPr>
          <w:i/>
          <w:sz w:val="18"/>
          <w:szCs w:val="18"/>
        </w:rPr>
        <w:t>Tentativas</w:t>
      </w:r>
      <w:r>
        <w:rPr>
          <w:sz w:val="18"/>
          <w:szCs w:val="18"/>
        </w:rPr>
        <w:t>, Morelia, FH-UMSNH, 2003, pp. 303-320.</w:t>
      </w:r>
    </w:p>
  </w:footnote>
  <w:footnote w:id="53">
    <w:p>
      <w:pPr>
        <w:pStyle w:val="6"/>
        <w:jc w:val="both"/>
        <w:rPr>
          <w:sz w:val="18"/>
          <w:szCs w:val="18"/>
        </w:rPr>
      </w:pPr>
      <w:r>
        <w:rPr>
          <w:rStyle w:val="5"/>
          <w:sz w:val="18"/>
          <w:szCs w:val="18"/>
        </w:rPr>
        <w:footnoteRef/>
      </w:r>
      <w:r>
        <w:rPr>
          <w:sz w:val="18"/>
          <w:szCs w:val="18"/>
        </w:rPr>
        <w:t xml:space="preserve"> AHMM I Gobierno Caja 13 Expediente 21 Acuitzio 18/abril/1804 f. 22v El subdelegado de Tiripetío Valentín Hernández contra alcaldes de la república de indios de Acuitzio.</w:t>
      </w:r>
    </w:p>
  </w:footnote>
  <w:footnote w:id="54">
    <w:p>
      <w:pPr>
        <w:pStyle w:val="6"/>
        <w:jc w:val="both"/>
        <w:rPr>
          <w:sz w:val="18"/>
          <w:szCs w:val="18"/>
        </w:rPr>
      </w:pPr>
      <w:r>
        <w:rPr>
          <w:rStyle w:val="5"/>
          <w:sz w:val="18"/>
          <w:szCs w:val="18"/>
        </w:rPr>
        <w:footnoteRef/>
      </w:r>
      <w:r>
        <w:rPr>
          <w:sz w:val="18"/>
          <w:szCs w:val="18"/>
        </w:rPr>
        <w:t xml:space="preserve"> AHMM III Justicia Caja 174 Expediente 2 Comachuén 2/junio/1785.</w:t>
      </w:r>
    </w:p>
  </w:footnote>
  <w:footnote w:id="55">
    <w:p>
      <w:pPr>
        <w:pStyle w:val="6"/>
        <w:jc w:val="both"/>
        <w:rPr>
          <w:sz w:val="18"/>
          <w:szCs w:val="18"/>
        </w:rPr>
      </w:pPr>
      <w:r>
        <w:rPr>
          <w:rStyle w:val="5"/>
          <w:sz w:val="18"/>
          <w:szCs w:val="18"/>
        </w:rPr>
        <w:footnoteRef/>
      </w:r>
      <w:r>
        <w:rPr>
          <w:sz w:val="18"/>
          <w:szCs w:val="18"/>
        </w:rPr>
        <w:t xml:space="preserve"> AHMM III Justicia Caja 177 Expediente 2 Uruapan 31/agosto/1779. </w:t>
      </w:r>
    </w:p>
  </w:footnote>
  <w:footnote w:id="56">
    <w:p>
      <w:pPr>
        <w:pStyle w:val="6"/>
        <w:jc w:val="both"/>
        <w:rPr>
          <w:sz w:val="18"/>
          <w:szCs w:val="18"/>
        </w:rPr>
      </w:pPr>
      <w:r>
        <w:rPr>
          <w:rStyle w:val="5"/>
          <w:sz w:val="18"/>
          <w:szCs w:val="18"/>
        </w:rPr>
        <w:footnoteRef/>
      </w:r>
      <w:r>
        <w:rPr>
          <w:sz w:val="18"/>
          <w:szCs w:val="18"/>
        </w:rPr>
        <w:t xml:space="preserve"> </w:t>
      </w:r>
      <w:r>
        <w:rPr>
          <w:i/>
          <w:sz w:val="18"/>
          <w:szCs w:val="18"/>
        </w:rPr>
        <w:t>Ibid.</w:t>
      </w:r>
      <w:r>
        <w:rPr>
          <w:sz w:val="18"/>
          <w:szCs w:val="18"/>
        </w:rPr>
        <w:t>, f. 1 v.</w:t>
      </w:r>
    </w:p>
  </w:footnote>
  <w:footnote w:id="57">
    <w:p>
      <w:pPr>
        <w:pStyle w:val="6"/>
        <w:jc w:val="both"/>
        <w:rPr>
          <w:sz w:val="18"/>
          <w:szCs w:val="18"/>
        </w:rPr>
      </w:pPr>
      <w:r>
        <w:rPr>
          <w:rStyle w:val="5"/>
          <w:sz w:val="18"/>
          <w:szCs w:val="18"/>
        </w:rPr>
        <w:footnoteRef/>
      </w:r>
      <w:r>
        <w:rPr>
          <w:sz w:val="18"/>
          <w:szCs w:val="18"/>
        </w:rPr>
        <w:t xml:space="preserve"> AHMM III Justicia Caja 185 Expediente 9 Cherán 3/junio/1802 Carta de Ignacio Treviño al Intendente corregidor don Felipe Díaz de Orgega, ff. 5v-6v. </w:t>
      </w:r>
    </w:p>
  </w:footnote>
  <w:footnote w:id="58">
    <w:p>
      <w:pPr>
        <w:pStyle w:val="6"/>
        <w:jc w:val="both"/>
        <w:rPr>
          <w:sz w:val="18"/>
          <w:szCs w:val="18"/>
        </w:rPr>
      </w:pPr>
      <w:r>
        <w:rPr>
          <w:rStyle w:val="5"/>
          <w:sz w:val="18"/>
          <w:szCs w:val="18"/>
        </w:rPr>
        <w:footnoteRef/>
      </w:r>
      <w:r>
        <w:rPr>
          <w:sz w:val="18"/>
          <w:szCs w:val="18"/>
        </w:rPr>
        <w:t xml:space="preserve"> AHMM I Gobierno Caja 13 Expediente 30 Cherán 24/enero/1781 Don José Thomás Velázquez, alcalde de Cherán, contra Ramón Diego.</w:t>
      </w:r>
    </w:p>
  </w:footnote>
  <w:footnote w:id="59">
    <w:p>
      <w:pPr>
        <w:pStyle w:val="6"/>
        <w:jc w:val="both"/>
        <w:rPr>
          <w:sz w:val="18"/>
          <w:szCs w:val="18"/>
        </w:rPr>
      </w:pPr>
      <w:r>
        <w:rPr>
          <w:rStyle w:val="5"/>
          <w:sz w:val="18"/>
          <w:szCs w:val="18"/>
        </w:rPr>
        <w:footnoteRef/>
      </w:r>
      <w:r>
        <w:rPr>
          <w:sz w:val="18"/>
          <w:szCs w:val="18"/>
        </w:rPr>
        <w:t xml:space="preserve"> AHMM I Gobierno Caja 16 Expediente 5 Cherán 23/diciembre/1780 Don Juna Bautista, alcalde y Antonio Cuin, regidor, de Cherán, contra Ramón Diego.</w:t>
      </w:r>
    </w:p>
  </w:footnote>
  <w:footnote w:id="60">
    <w:p>
      <w:pPr>
        <w:pStyle w:val="6"/>
        <w:jc w:val="both"/>
        <w:rPr>
          <w:sz w:val="18"/>
          <w:szCs w:val="18"/>
        </w:rPr>
      </w:pPr>
      <w:r>
        <w:rPr>
          <w:rStyle w:val="5"/>
          <w:sz w:val="18"/>
          <w:szCs w:val="18"/>
        </w:rPr>
        <w:footnoteRef/>
      </w:r>
      <w:r>
        <w:rPr>
          <w:sz w:val="18"/>
          <w:szCs w:val="18"/>
        </w:rPr>
        <w:t xml:space="preserve"> AHMM I Gobierno Caja 13 Expediente 21 Acuitzio 18/abril/1804 f. 22v El subdelegado de Tiripetío Valentín Hernández contra alcaldes de la república de indios de Acuitzio.</w:t>
      </w:r>
    </w:p>
  </w:footnote>
  <w:footnote w:id="61">
    <w:p>
      <w:pPr>
        <w:pStyle w:val="6"/>
        <w:jc w:val="both"/>
        <w:rPr>
          <w:sz w:val="18"/>
          <w:szCs w:val="18"/>
        </w:rPr>
      </w:pPr>
      <w:r>
        <w:rPr>
          <w:rStyle w:val="5"/>
          <w:sz w:val="18"/>
          <w:szCs w:val="18"/>
        </w:rPr>
        <w:footnoteRef/>
      </w:r>
      <w:r>
        <w:rPr>
          <w:sz w:val="18"/>
          <w:szCs w:val="18"/>
        </w:rPr>
        <w:t xml:space="preserve"> AHMM I Gobierno Caja 14 Expediente 14 Ahuiran 22/septiembre/1792 f. 1 Los principales e indios viejos de Ahuiran contra el cura, bachiller Manuel Carranza.</w:t>
      </w:r>
    </w:p>
  </w:footnote>
  <w:footnote w:id="62">
    <w:p>
      <w:pPr>
        <w:pStyle w:val="6"/>
        <w:jc w:val="both"/>
        <w:rPr>
          <w:sz w:val="18"/>
          <w:szCs w:val="18"/>
        </w:rPr>
      </w:pPr>
      <w:r>
        <w:rPr>
          <w:rStyle w:val="5"/>
          <w:sz w:val="18"/>
          <w:szCs w:val="18"/>
        </w:rPr>
        <w:footnoteRef/>
      </w:r>
      <w:r>
        <w:rPr>
          <w:sz w:val="18"/>
          <w:szCs w:val="18"/>
        </w:rPr>
        <w:t xml:space="preserve"> AHMM I Gobierno Caja 14 Expediente 14 Ahuiran 22/septiembre/1792 f. 4  Carta del  bachiller Manuel Carranza al subdelegado de Paracho.</w:t>
      </w:r>
    </w:p>
  </w:footnote>
  <w:footnote w:id="63">
    <w:p>
      <w:pPr>
        <w:pStyle w:val="6"/>
        <w:jc w:val="both"/>
        <w:rPr>
          <w:sz w:val="18"/>
          <w:szCs w:val="18"/>
        </w:rPr>
      </w:pPr>
      <w:r>
        <w:rPr>
          <w:rStyle w:val="5"/>
          <w:sz w:val="18"/>
          <w:szCs w:val="18"/>
        </w:rPr>
        <w:footnoteRef/>
      </w:r>
      <w:r>
        <w:rPr>
          <w:sz w:val="18"/>
          <w:szCs w:val="18"/>
        </w:rPr>
        <w:t xml:space="preserve"> AHMCR Diocesano/Gobierno/Sacerdotes/Informes Caja 21 Expediente 40 s/f (circa 1670) El cura de Aranza. Se encuentra publicado en Carrillo Cázares, Alberto, </w:t>
      </w:r>
      <w:r>
        <w:rPr>
          <w:i/>
          <w:sz w:val="18"/>
          <w:szCs w:val="18"/>
        </w:rPr>
        <w:t>Michoacán en el otoño del siglo XVII</w:t>
      </w:r>
      <w:r>
        <w:rPr>
          <w:sz w:val="18"/>
          <w:szCs w:val="18"/>
        </w:rPr>
        <w:t>, Zamora, El Colegio de Michoacán, 1993,  pp. 340-341.</w:t>
      </w:r>
    </w:p>
  </w:footnote>
  <w:footnote w:id="64">
    <w:p>
      <w:pPr>
        <w:pStyle w:val="6"/>
        <w:jc w:val="both"/>
        <w:rPr>
          <w:sz w:val="18"/>
          <w:szCs w:val="18"/>
        </w:rPr>
      </w:pPr>
      <w:r>
        <w:rPr>
          <w:rStyle w:val="5"/>
          <w:sz w:val="18"/>
          <w:szCs w:val="18"/>
        </w:rPr>
        <w:footnoteRef/>
      </w:r>
      <w:r>
        <w:rPr>
          <w:sz w:val="18"/>
          <w:szCs w:val="18"/>
        </w:rPr>
        <w:t xml:space="preserve"> AHMM I Gobierno caja 17 expediente 1 Uruapan 2/diciembre/1767 Sentencia de muerte por las repetidas y escandalosas sediciones con que la plebe compuesta de indios, mulatos y otras castas del pueblo de San Francisco Uruapan.</w:t>
      </w:r>
    </w:p>
  </w:footnote>
  <w:footnote w:id="65">
    <w:p>
      <w:pPr>
        <w:pStyle w:val="6"/>
        <w:jc w:val="both"/>
        <w:rPr>
          <w:sz w:val="18"/>
          <w:szCs w:val="18"/>
        </w:rPr>
      </w:pPr>
      <w:r>
        <w:rPr>
          <w:rStyle w:val="5"/>
          <w:sz w:val="18"/>
          <w:szCs w:val="18"/>
        </w:rPr>
        <w:footnoteRef/>
      </w:r>
      <w:r>
        <w:rPr>
          <w:sz w:val="18"/>
          <w:szCs w:val="18"/>
        </w:rPr>
        <w:t xml:space="preserve"> Carrillo Cázares, Alberto, </w:t>
      </w:r>
      <w:r>
        <w:rPr>
          <w:i/>
          <w:sz w:val="18"/>
          <w:szCs w:val="18"/>
        </w:rPr>
        <w:t>Michoacán en el otoño del siglo XVII</w:t>
      </w:r>
      <w:r>
        <w:rPr>
          <w:sz w:val="18"/>
          <w:szCs w:val="18"/>
        </w:rPr>
        <w:t>, Zamora, El Colegio de Michoacán, 1993,  p. 338. Informe del cura de Aranza al obispo en 1670.</w:t>
      </w:r>
    </w:p>
  </w:footnote>
  <w:footnote w:id="66">
    <w:p>
      <w:pPr>
        <w:pStyle w:val="6"/>
        <w:jc w:val="both"/>
        <w:rPr>
          <w:sz w:val="18"/>
          <w:szCs w:val="18"/>
        </w:rPr>
      </w:pPr>
      <w:r>
        <w:rPr>
          <w:rStyle w:val="5"/>
          <w:sz w:val="18"/>
          <w:szCs w:val="18"/>
        </w:rPr>
        <w:footnoteRef/>
      </w:r>
      <w:r>
        <w:rPr>
          <w:sz w:val="18"/>
          <w:szCs w:val="18"/>
        </w:rPr>
        <w:t xml:space="preserve"> AHMCR Diocesano/Justicia/Procesos Contenciosos/Prohibiciones Caja 813 Expediente 6 San Luis de la Paz 1760 Contra mulatos que fabrican “chinguiritos”.</w:t>
      </w:r>
    </w:p>
  </w:footnote>
  <w:footnote w:id="67">
    <w:p>
      <w:pPr>
        <w:pStyle w:val="6"/>
        <w:jc w:val="both"/>
        <w:rPr>
          <w:sz w:val="18"/>
          <w:szCs w:val="18"/>
        </w:rPr>
      </w:pPr>
      <w:r>
        <w:rPr>
          <w:rStyle w:val="5"/>
          <w:sz w:val="18"/>
          <w:szCs w:val="18"/>
        </w:rPr>
        <w:footnoteRef/>
      </w:r>
      <w:r>
        <w:rPr>
          <w:sz w:val="18"/>
          <w:szCs w:val="18"/>
        </w:rPr>
        <w:t xml:space="preserve">  AHMM II Hacienda Caja 7 Expediente 4 Superior gobierno 14/noviembre/1805 contra el Contador Don Agustín José Sáenz por matricularlos como mulatos.</w:t>
      </w:r>
    </w:p>
  </w:footnote>
  <w:footnote w:id="68">
    <w:p>
      <w:pPr>
        <w:pStyle w:val="6"/>
        <w:jc w:val="both"/>
        <w:rPr>
          <w:sz w:val="18"/>
          <w:szCs w:val="18"/>
        </w:rPr>
      </w:pPr>
      <w:r>
        <w:rPr>
          <w:rStyle w:val="5"/>
          <w:sz w:val="18"/>
          <w:szCs w:val="18"/>
        </w:rPr>
        <w:footnoteRef/>
      </w:r>
      <w:r>
        <w:rPr>
          <w:sz w:val="18"/>
          <w:szCs w:val="18"/>
        </w:rPr>
        <w:t xml:space="preserve"> Cházaro Basáñez, Migue de Jesús, Rodríguez Domínguez, José Manuel, Tapia Campos, Ernesto y Juan Gallardo Valdez, “Distribución geográfica del género Agave en el estado de Michoacán”, en Gallardo Valdez, Juan (Coordinador), </w:t>
      </w:r>
      <w:r>
        <w:rPr>
          <w:i/>
          <w:sz w:val="18"/>
          <w:szCs w:val="18"/>
        </w:rPr>
        <w:t>La producción e mezcal en el estado de Michoacán</w:t>
      </w:r>
      <w:r>
        <w:rPr>
          <w:sz w:val="18"/>
          <w:szCs w:val="18"/>
        </w:rPr>
        <w:t>, Morelia, CONACYT/ CIATEJ/ Secretaría de Desarrollo Rural-Gobierno de Michoacán, 2008,  pp.  33, 38.</w:t>
      </w:r>
    </w:p>
  </w:footnote>
  <w:footnote w:id="69">
    <w:p>
      <w:pPr>
        <w:pStyle w:val="6"/>
        <w:jc w:val="both"/>
        <w:rPr>
          <w:sz w:val="18"/>
          <w:szCs w:val="18"/>
        </w:rPr>
      </w:pPr>
      <w:r>
        <w:rPr>
          <w:rStyle w:val="5"/>
          <w:sz w:val="18"/>
          <w:szCs w:val="18"/>
        </w:rPr>
        <w:footnoteRef/>
      </w:r>
      <w:r>
        <w:rPr>
          <w:sz w:val="18"/>
          <w:szCs w:val="18"/>
        </w:rPr>
        <w:t xml:space="preserve"> AHMCR  Diocesano/Justicia/ Procesos Contenciosos/ Prohibiciones Caja 813 Expediente 5 Curucupaseo 28/marzo/1760.</w:t>
      </w:r>
    </w:p>
  </w:footnote>
  <w:footnote w:id="70">
    <w:p>
      <w:pPr>
        <w:pStyle w:val="6"/>
        <w:jc w:val="both"/>
        <w:rPr>
          <w:sz w:val="18"/>
          <w:szCs w:val="18"/>
        </w:rPr>
      </w:pPr>
      <w:r>
        <w:rPr>
          <w:rStyle w:val="5"/>
          <w:sz w:val="18"/>
          <w:szCs w:val="18"/>
        </w:rPr>
        <w:footnoteRef/>
      </w:r>
      <w:r>
        <w:rPr>
          <w:sz w:val="18"/>
          <w:szCs w:val="18"/>
        </w:rPr>
        <w:t xml:space="preserve"> Pizzigoni, Caterina, ““Como frágil y miserable”; las mujeres nahuas del valle de Toluca”, en Gozalbo Aizpuro, Pilar (directora de la serie), </w:t>
      </w:r>
      <w:r>
        <w:rPr>
          <w:i/>
          <w:sz w:val="18"/>
          <w:szCs w:val="18"/>
        </w:rPr>
        <w:t>Historia de la vida cotidiana en México</w:t>
      </w:r>
      <w:r>
        <w:rPr>
          <w:sz w:val="18"/>
          <w:szCs w:val="18"/>
        </w:rPr>
        <w:t>, Vol. III., “El siglo XVIII: entre tradición y cambio”, México, FCE/El Colegio de México, 2004, p. 512.</w:t>
      </w:r>
    </w:p>
  </w:footnote>
  <w:footnote w:id="71">
    <w:p>
      <w:pPr>
        <w:pStyle w:val="6"/>
        <w:jc w:val="both"/>
        <w:rPr>
          <w:sz w:val="18"/>
          <w:szCs w:val="18"/>
        </w:rPr>
      </w:pPr>
      <w:r>
        <w:rPr>
          <w:rStyle w:val="5"/>
          <w:sz w:val="18"/>
          <w:szCs w:val="18"/>
        </w:rPr>
        <w:footnoteRef/>
      </w:r>
      <w:r>
        <w:rPr>
          <w:sz w:val="18"/>
          <w:szCs w:val="18"/>
        </w:rPr>
        <w:t xml:space="preserve"> Talavera Ibarra, Oziel Ulises, </w:t>
      </w:r>
      <w:r>
        <w:rPr>
          <w:i/>
          <w:sz w:val="18"/>
          <w:szCs w:val="18"/>
        </w:rPr>
        <w:t>Historia del Pueblo de Indios de San Francisco Uruapan</w:t>
      </w:r>
      <w:r>
        <w:rPr>
          <w:sz w:val="18"/>
          <w:szCs w:val="18"/>
        </w:rPr>
        <w:t>, 2ª, Morelia, H. Ayuntamiento de Uruapan/Secretaría de Cultura de Michoacán, 2011,  pp. 148-149.</w:t>
      </w:r>
    </w:p>
  </w:footnote>
  <w:footnote w:id="72">
    <w:p>
      <w:pPr>
        <w:pStyle w:val="6"/>
        <w:jc w:val="both"/>
        <w:rPr>
          <w:sz w:val="18"/>
          <w:szCs w:val="18"/>
        </w:rPr>
      </w:pPr>
      <w:r>
        <w:rPr>
          <w:rStyle w:val="5"/>
          <w:sz w:val="18"/>
          <w:szCs w:val="18"/>
        </w:rPr>
        <w:footnoteRef/>
      </w:r>
      <w:r>
        <w:rPr>
          <w:sz w:val="18"/>
          <w:szCs w:val="18"/>
        </w:rPr>
        <w:t xml:space="preserve"> </w:t>
      </w:r>
      <w:r>
        <w:rPr>
          <w:i/>
          <w:sz w:val="18"/>
          <w:szCs w:val="18"/>
        </w:rPr>
        <w:t>Ibid.</w:t>
      </w:r>
      <w:r>
        <w:rPr>
          <w:sz w:val="18"/>
          <w:szCs w:val="18"/>
        </w:rPr>
        <w:t>, p. 149 Tomada de Archivo Histórico Municipal de Pátzcuaro (en adelante AHMP) Caja 15 Expediente 2 f. 221.</w:t>
      </w:r>
    </w:p>
  </w:footnote>
  <w:footnote w:id="73">
    <w:p>
      <w:pPr>
        <w:pStyle w:val="6"/>
        <w:jc w:val="both"/>
        <w:rPr>
          <w:sz w:val="18"/>
          <w:szCs w:val="18"/>
        </w:rPr>
      </w:pPr>
      <w:r>
        <w:rPr>
          <w:rStyle w:val="5"/>
          <w:sz w:val="18"/>
          <w:szCs w:val="18"/>
        </w:rPr>
        <w:footnoteRef/>
      </w:r>
      <w:r>
        <w:rPr>
          <w:sz w:val="18"/>
          <w:szCs w:val="18"/>
        </w:rPr>
        <w:t xml:space="preserve"> </w:t>
      </w:r>
      <w:r>
        <w:rPr>
          <w:i/>
          <w:sz w:val="18"/>
          <w:szCs w:val="18"/>
        </w:rPr>
        <w:t>Ibid.</w:t>
      </w:r>
      <w:r>
        <w:rPr>
          <w:sz w:val="18"/>
          <w:szCs w:val="18"/>
        </w:rPr>
        <w:t>, p. 149 Tomado de Archivo General de la Nación Ramo Indios, Vol. 12, f. 187.</w:t>
      </w:r>
    </w:p>
  </w:footnote>
  <w:footnote w:id="74">
    <w:p>
      <w:pPr>
        <w:pStyle w:val="6"/>
        <w:jc w:val="both"/>
        <w:rPr>
          <w:sz w:val="18"/>
          <w:szCs w:val="18"/>
        </w:rPr>
      </w:pPr>
      <w:r>
        <w:rPr>
          <w:rStyle w:val="5"/>
          <w:sz w:val="18"/>
          <w:szCs w:val="18"/>
        </w:rPr>
        <w:footnoteRef/>
      </w:r>
      <w:r>
        <w:rPr>
          <w:sz w:val="18"/>
          <w:szCs w:val="18"/>
        </w:rPr>
        <w:t xml:space="preserve"> </w:t>
      </w:r>
      <w:r>
        <w:rPr>
          <w:i/>
          <w:sz w:val="18"/>
          <w:szCs w:val="18"/>
        </w:rPr>
        <w:t>Ibid.</w:t>
      </w:r>
      <w:r>
        <w:rPr>
          <w:sz w:val="18"/>
          <w:szCs w:val="18"/>
        </w:rPr>
        <w:t>, p. 151 Tomada de AHMP Caja 124 Expediente 1 año 1636.</w:t>
      </w:r>
    </w:p>
  </w:footnote>
  <w:footnote w:id="75">
    <w:p>
      <w:pPr>
        <w:pStyle w:val="6"/>
        <w:jc w:val="both"/>
        <w:rPr>
          <w:sz w:val="18"/>
          <w:szCs w:val="18"/>
        </w:rPr>
      </w:pPr>
      <w:r>
        <w:rPr>
          <w:rStyle w:val="5"/>
          <w:sz w:val="18"/>
          <w:szCs w:val="18"/>
        </w:rPr>
        <w:footnoteRef/>
      </w:r>
      <w:r>
        <w:rPr>
          <w:sz w:val="18"/>
          <w:szCs w:val="18"/>
        </w:rPr>
        <w:t xml:space="preserve"> </w:t>
      </w:r>
      <w:r>
        <w:rPr>
          <w:i/>
          <w:sz w:val="18"/>
          <w:szCs w:val="18"/>
        </w:rPr>
        <w:t>Ibid.</w:t>
      </w:r>
      <w:r>
        <w:rPr>
          <w:sz w:val="18"/>
          <w:szCs w:val="18"/>
        </w:rPr>
        <w:t>, p. 151 Tomada de AHMP Caja 13 Expediente 3 f. 443.</w:t>
      </w:r>
    </w:p>
  </w:footnote>
  <w:footnote w:id="76">
    <w:p>
      <w:pPr>
        <w:pStyle w:val="6"/>
        <w:jc w:val="both"/>
        <w:rPr>
          <w:sz w:val="18"/>
          <w:szCs w:val="18"/>
        </w:rPr>
      </w:pPr>
      <w:r>
        <w:rPr>
          <w:rStyle w:val="5"/>
          <w:sz w:val="18"/>
          <w:szCs w:val="18"/>
        </w:rPr>
        <w:footnoteRef/>
      </w:r>
      <w:r>
        <w:rPr>
          <w:sz w:val="18"/>
          <w:szCs w:val="18"/>
        </w:rPr>
        <w:t xml:space="preserve"> </w:t>
      </w:r>
      <w:r>
        <w:rPr>
          <w:i/>
          <w:sz w:val="18"/>
          <w:szCs w:val="18"/>
        </w:rPr>
        <w:t>Ibid.</w:t>
      </w:r>
      <w:r>
        <w:rPr>
          <w:sz w:val="18"/>
          <w:szCs w:val="18"/>
        </w:rPr>
        <w:t>, p. 151 Tomada de AHMM I Gobierno Caja 2 Expediente 3 año 1622, s. f.</w:t>
      </w:r>
    </w:p>
  </w:footnote>
  <w:footnote w:id="77">
    <w:p>
      <w:pPr>
        <w:pStyle w:val="6"/>
        <w:jc w:val="both"/>
        <w:rPr>
          <w:sz w:val="18"/>
          <w:szCs w:val="18"/>
        </w:rPr>
      </w:pPr>
      <w:r>
        <w:rPr>
          <w:rStyle w:val="5"/>
          <w:sz w:val="18"/>
          <w:szCs w:val="18"/>
        </w:rPr>
        <w:footnoteRef/>
      </w:r>
      <w:r>
        <w:rPr>
          <w:sz w:val="18"/>
          <w:szCs w:val="18"/>
        </w:rPr>
        <w:t xml:space="preserve"> Gavira Márquez, María Concepción, “Disciplina laboral y códigos mineros en los virreinatos del Río de la Plata y Nueva España a fines del periodo colonial,” en </w:t>
      </w:r>
      <w:r>
        <w:rPr>
          <w:i/>
          <w:sz w:val="18"/>
          <w:szCs w:val="18"/>
        </w:rPr>
        <w:t>Relaciones . Estudios de Historia y Sociedad</w:t>
      </w:r>
      <w:r>
        <w:rPr>
          <w:sz w:val="18"/>
          <w:szCs w:val="18"/>
        </w:rPr>
        <w:t>, Vol. XXVI, No. 102, Zamora, Primavera, 2005, p. 213.</w:t>
      </w:r>
    </w:p>
  </w:footnote>
  <w:footnote w:id="78">
    <w:p>
      <w:pPr>
        <w:tabs>
          <w:tab w:val="left" w:pos="-720"/>
        </w:tabs>
        <w:jc w:val="both"/>
        <w:rPr>
          <w:spacing w:val="-3"/>
          <w:sz w:val="18"/>
          <w:szCs w:val="18"/>
        </w:rPr>
      </w:pPr>
      <w:r>
        <w:rPr>
          <w:rStyle w:val="5"/>
          <w:sz w:val="18"/>
          <w:szCs w:val="18"/>
        </w:rPr>
        <w:footnoteRef/>
      </w:r>
      <w:r>
        <w:rPr>
          <w:sz w:val="18"/>
          <w:szCs w:val="18"/>
        </w:rPr>
        <w:t xml:space="preserve"> </w:t>
      </w:r>
      <w:r>
        <w:rPr>
          <w:spacing w:val="-2"/>
          <w:sz w:val="18"/>
          <w:szCs w:val="18"/>
        </w:rPr>
        <w:t>AHMM III Justicia Caja 188 Expediente 28 Bebidas prohibidas  Valladolid 1773  José Morraz, sastre,  inválido</w:t>
      </w:r>
      <w:r>
        <w:rPr>
          <w:spacing w:val="-3"/>
          <w:sz w:val="18"/>
          <w:szCs w:val="18"/>
        </w:rPr>
        <w:t>, pide se le cambie la pena de dos años de presidio en San Juan de Ulúa.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numPr>
        <w:ilvl w:val="0"/>
        <w:numId w:val="0"/>
      </w:numPr>
      <w:suppressLineNumbers w:val="0"/>
      <w:ind w:leftChars="0"/>
      <w:jc w:val="center"/>
      <w:rPr>
        <w:rFonts w:hint="default" w:ascii="Segoe Print" w:hAnsi="Segoe Print" w:cs="Segoe Print"/>
        <w:sz w:val="11"/>
        <w:szCs w:val="11"/>
      </w:rPr>
    </w:pPr>
    <w:r>
      <w:rPr>
        <w:rFonts w:hint="default" w:ascii="Segoe Print" w:hAnsi="Segoe Print" w:eastAsia="SimSun" w:cs="Segoe Print"/>
        <w:b/>
        <w:bCs/>
        <w:color w:val="7F7F7F" w:themeColor="background1" w:themeShade="80"/>
        <w:sz w:val="11"/>
        <w:szCs w:val="11"/>
      </w:rPr>
      <w:drawing>
        <wp:anchor distT="0" distB="0" distL="114300" distR="114300" simplePos="0" relativeHeight="251659264" behindDoc="1" locked="0" layoutInCell="1" allowOverlap="1">
          <wp:simplePos x="0" y="0"/>
          <wp:positionH relativeFrom="column">
            <wp:posOffset>603250</wp:posOffset>
          </wp:positionH>
          <wp:positionV relativeFrom="page">
            <wp:posOffset>407035</wp:posOffset>
          </wp:positionV>
          <wp:extent cx="2371725" cy="389890"/>
          <wp:effectExtent l="0" t="0" r="0" b="10160"/>
          <wp:wrapThrough wrapText="bothSides">
            <wp:wrapPolygon>
              <wp:start x="0" y="0"/>
              <wp:lineTo x="0" y="20721"/>
              <wp:lineTo x="21513" y="20721"/>
              <wp:lineTo x="21513" y="0"/>
              <wp:lineTo x="0" y="0"/>
            </wp:wrapPolygon>
          </wp:wrapThrough>
          <wp:docPr id="8" name="Imagen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G_256"/>
                  <pic:cNvPicPr>
                    <a:picLocks noChangeAspect="1"/>
                  </pic:cNvPicPr>
                </pic:nvPicPr>
                <pic:blipFill>
                  <a:blip r:embed="rId1">
                    <a:grayscl/>
                  </a:blip>
                  <a:srcRect l="5751" t="30608" r="5645" b="55687"/>
                  <a:stretch>
                    <a:fillRect/>
                  </a:stretch>
                </pic:blipFill>
                <pic:spPr>
                  <a:xfrm>
                    <a:off x="0" y="0"/>
                    <a:ext cx="2371725" cy="389890"/>
                  </a:xfrm>
                  <a:prstGeom prst="rect">
                    <a:avLst/>
                  </a:prstGeom>
                  <a:noFill/>
                  <a:ln w="9525">
                    <a:noFill/>
                  </a:ln>
                </pic:spPr>
              </pic:pic>
            </a:graphicData>
          </a:graphic>
        </wp:anchor>
      </w:drawing>
    </w:r>
  </w:p>
  <w:p>
    <w:pPr>
      <w:keepNext w:val="0"/>
      <w:keepLines w:val="0"/>
      <w:widowControl/>
      <w:numPr>
        <w:ilvl w:val="0"/>
        <w:numId w:val="0"/>
      </w:numPr>
      <w:suppressLineNumbers w:val="0"/>
      <w:ind w:leftChars="0"/>
      <w:jc w:val="center"/>
      <w:rPr>
        <w:rFonts w:hint="default" w:ascii="Segoe Print" w:hAnsi="Segoe Print" w:cs="Segoe Print"/>
        <w:sz w:val="11"/>
        <w:szCs w:val="11"/>
      </w:rPr>
    </w:pPr>
  </w:p>
  <w:sdt>
    <w:sdtPr>
      <w:rPr>
        <w:rFonts w:hint="default" w:ascii="Segoe Print" w:hAnsi="Segoe Print" w:cs="Segoe Print"/>
        <w:b/>
        <w:bCs/>
        <w:color w:val="7F7F7F" w:themeColor="background1" w:themeShade="80"/>
        <w:sz w:val="11"/>
        <w:szCs w:val="11"/>
      </w:rPr>
      <w:id w:val="-206106283"/>
      <w:docPartObj>
        <w:docPartGallery w:val="autotext"/>
      </w:docPartObj>
    </w:sdtPr>
    <w:sdtEndPr>
      <w:rPr>
        <w:rFonts w:hint="default" w:ascii="Segoe Print" w:hAnsi="Segoe Print" w:cs="Segoe Print"/>
        <w:b/>
        <w:bCs/>
        <w:color w:val="7F7F7F" w:themeColor="background1" w:themeShade="80"/>
        <w:sz w:val="11"/>
        <w:szCs w:val="11"/>
      </w:rPr>
    </w:sdtEndPr>
    <w:sdtContent>
      <w:p>
        <w:pPr>
          <w:keepNext w:val="0"/>
          <w:keepLines w:val="0"/>
          <w:widowControl/>
          <w:numPr>
            <w:ilvl w:val="0"/>
            <w:numId w:val="0"/>
          </w:numPr>
          <w:suppressLineNumbers w:val="0"/>
          <w:ind w:leftChars="0"/>
          <w:jc w:val="center"/>
          <w:rPr>
            <w:rFonts w:hint="default" w:ascii="Segoe Print" w:hAnsi="Segoe Print" w:cs="Segoe Print"/>
            <w:b/>
            <w:bCs/>
            <w:color w:val="7F7F7F" w:themeColor="background1" w:themeShade="80"/>
            <w:kern w:val="0"/>
            <w:sz w:val="11"/>
            <w:szCs w:val="11"/>
            <w:lang w:val="es-MX" w:eastAsia="zh-CN" w:bidi="ar"/>
          </w:rPr>
        </w:pPr>
        <w:r>
          <w:rPr>
            <w:rFonts w:hint="default" w:ascii="Segoe Print" w:hAnsi="Segoe Print" w:eastAsia="SimSun" w:cs="Segoe Print"/>
            <w:b/>
            <w:bCs/>
            <w:color w:val="7F7F7F" w:themeColor="background1" w:themeShade="80"/>
            <w:kern w:val="0"/>
            <w:sz w:val="11"/>
            <w:szCs w:val="11"/>
            <w:lang w:val="en-US" w:eastAsia="zh-CN" w:bidi="ar"/>
          </w:rPr>
          <w:t>L</w:t>
        </w:r>
        <w:r>
          <w:rPr>
            <w:rFonts w:hint="default" w:ascii="Segoe Print" w:hAnsi="Segoe Print" w:eastAsia="SimSun" w:cs="Segoe Print"/>
            <w:b/>
            <w:bCs/>
            <w:color w:val="7F7F7F" w:themeColor="background1" w:themeShade="80"/>
            <w:kern w:val="0"/>
            <w:sz w:val="11"/>
            <w:szCs w:val="11"/>
            <w:lang w:val="es-MX" w:eastAsia="zh-CN" w:bidi="ar"/>
          </w:rPr>
          <w:t>a</w:t>
        </w:r>
        <w:r>
          <w:rPr>
            <w:rFonts w:hint="default" w:ascii="Segoe Print" w:hAnsi="Segoe Print" w:cs="Segoe Print"/>
            <w:b/>
            <w:bCs/>
            <w:color w:val="7F7F7F" w:themeColor="background1" w:themeShade="80"/>
            <w:kern w:val="0"/>
            <w:sz w:val="11"/>
            <w:szCs w:val="11"/>
            <w:lang w:val="es-MX" w:eastAsia="zh-CN" w:bidi="ar"/>
          </w:rPr>
          <w:t>s bebidas tradicionales en Michoacán</w:t>
        </w:r>
      </w:p>
      <w:p>
        <w:pPr>
          <w:keepNext w:val="0"/>
          <w:keepLines w:val="0"/>
          <w:widowControl/>
          <w:numPr>
            <w:ilvl w:val="0"/>
            <w:numId w:val="0"/>
          </w:numPr>
          <w:suppressLineNumbers w:val="0"/>
          <w:ind w:leftChars="0"/>
          <w:jc w:val="center"/>
          <w:rPr>
            <w:rFonts w:hint="default" w:ascii="Segoe Print" w:hAnsi="Segoe Print" w:cs="Segoe Print"/>
            <w:sz w:val="11"/>
            <w:szCs w:val="11"/>
          </w:rPr>
        </w:pPr>
        <w:r>
          <w:rPr>
            <w:rFonts w:hint="default" w:ascii="Segoe Print" w:hAnsi="Segoe Print" w:cs="Segoe Print"/>
            <w:b/>
            <w:bCs/>
            <w:color w:val="7F7F7F" w:themeColor="background1" w:themeShade="80"/>
            <w:sz w:val="11"/>
            <w:szCs w:val="11"/>
            <w:lang w:val="es-MX"/>
          </w:rPr>
          <w:t xml:space="preserve">    </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709"/>
  <w:autoHyphenation/>
  <w:hyphenationZone w:val="425"/>
  <w:displayHorizontalDrawingGridEvery w:val="1"/>
  <w:displayVerticalDrawingGridEvery w:val="1"/>
  <w:noPunctuationKerning w:val="1"/>
  <w:characterSpacingControl w:val="doNotCompress"/>
  <w:footnotePr>
    <w:footnote w:id="158"/>
    <w:footnote w:id="159"/>
  </w:footnotePr>
  <w:compat>
    <w:doNotExpandShiftReturn/>
    <w:doNotWrapTextWithPunct/>
    <w:doNotUseEastAsianBreakRules/>
    <w:doNotUseIndentAsNumberingTabStop/>
    <w:useAltKinsokuLineBreakRules/>
    <w:compatSetting w:name="compatibilityMode" w:uri="http://schemas.microsoft.com/office/word" w:val="14"/>
  </w:compat>
  <w:rsids>
    <w:rsidRoot w:val="00843A9B"/>
    <w:rsid w:val="000107B1"/>
    <w:rsid w:val="000271C5"/>
    <w:rsid w:val="00034A14"/>
    <w:rsid w:val="00040F62"/>
    <w:rsid w:val="00043B10"/>
    <w:rsid w:val="0004411D"/>
    <w:rsid w:val="000468B5"/>
    <w:rsid w:val="00052114"/>
    <w:rsid w:val="00053DAD"/>
    <w:rsid w:val="00070A42"/>
    <w:rsid w:val="00070B4C"/>
    <w:rsid w:val="00071E02"/>
    <w:rsid w:val="00072C04"/>
    <w:rsid w:val="000766CA"/>
    <w:rsid w:val="000B1AE4"/>
    <w:rsid w:val="000B4BA0"/>
    <w:rsid w:val="000C5E09"/>
    <w:rsid w:val="000D76A5"/>
    <w:rsid w:val="000E028E"/>
    <w:rsid w:val="000E2109"/>
    <w:rsid w:val="000E5C45"/>
    <w:rsid w:val="000F184A"/>
    <w:rsid w:val="000F5CCA"/>
    <w:rsid w:val="000F62F3"/>
    <w:rsid w:val="001006D2"/>
    <w:rsid w:val="00107198"/>
    <w:rsid w:val="00111E08"/>
    <w:rsid w:val="00115C87"/>
    <w:rsid w:val="00122319"/>
    <w:rsid w:val="0014534F"/>
    <w:rsid w:val="00152320"/>
    <w:rsid w:val="00170FE4"/>
    <w:rsid w:val="00176B32"/>
    <w:rsid w:val="00181A12"/>
    <w:rsid w:val="00187D9E"/>
    <w:rsid w:val="00191CEB"/>
    <w:rsid w:val="001931B6"/>
    <w:rsid w:val="001A4700"/>
    <w:rsid w:val="001D4913"/>
    <w:rsid w:val="001F17DA"/>
    <w:rsid w:val="002343E8"/>
    <w:rsid w:val="00241894"/>
    <w:rsid w:val="00250454"/>
    <w:rsid w:val="00251F2E"/>
    <w:rsid w:val="00260397"/>
    <w:rsid w:val="00267065"/>
    <w:rsid w:val="002739AE"/>
    <w:rsid w:val="00290444"/>
    <w:rsid w:val="00290C21"/>
    <w:rsid w:val="00296058"/>
    <w:rsid w:val="002A2E0B"/>
    <w:rsid w:val="002B57E2"/>
    <w:rsid w:val="002C41BD"/>
    <w:rsid w:val="002C5019"/>
    <w:rsid w:val="002D00CE"/>
    <w:rsid w:val="002E754E"/>
    <w:rsid w:val="00300DD8"/>
    <w:rsid w:val="00301E02"/>
    <w:rsid w:val="00312A9B"/>
    <w:rsid w:val="00337F74"/>
    <w:rsid w:val="0034007B"/>
    <w:rsid w:val="003401F9"/>
    <w:rsid w:val="00340DE5"/>
    <w:rsid w:val="003464B2"/>
    <w:rsid w:val="00356BE8"/>
    <w:rsid w:val="00367644"/>
    <w:rsid w:val="00371333"/>
    <w:rsid w:val="00380952"/>
    <w:rsid w:val="00383F94"/>
    <w:rsid w:val="003859E2"/>
    <w:rsid w:val="003A196E"/>
    <w:rsid w:val="003D2E0A"/>
    <w:rsid w:val="003E4047"/>
    <w:rsid w:val="003E4254"/>
    <w:rsid w:val="004345CD"/>
    <w:rsid w:val="00437B30"/>
    <w:rsid w:val="0044353D"/>
    <w:rsid w:val="004437A7"/>
    <w:rsid w:val="00463676"/>
    <w:rsid w:val="004719AA"/>
    <w:rsid w:val="0047710F"/>
    <w:rsid w:val="004818E5"/>
    <w:rsid w:val="004A113B"/>
    <w:rsid w:val="004C0678"/>
    <w:rsid w:val="004D2BA8"/>
    <w:rsid w:val="004D7837"/>
    <w:rsid w:val="004E6607"/>
    <w:rsid w:val="0052620F"/>
    <w:rsid w:val="00535D03"/>
    <w:rsid w:val="00535DE5"/>
    <w:rsid w:val="00547304"/>
    <w:rsid w:val="00573282"/>
    <w:rsid w:val="00580270"/>
    <w:rsid w:val="00595262"/>
    <w:rsid w:val="00595AD8"/>
    <w:rsid w:val="005A0B57"/>
    <w:rsid w:val="005A396E"/>
    <w:rsid w:val="005B26F8"/>
    <w:rsid w:val="005D4A0E"/>
    <w:rsid w:val="005D6EE6"/>
    <w:rsid w:val="005E1417"/>
    <w:rsid w:val="005F65AA"/>
    <w:rsid w:val="00600F4F"/>
    <w:rsid w:val="0060607F"/>
    <w:rsid w:val="00611F05"/>
    <w:rsid w:val="00627045"/>
    <w:rsid w:val="00675BF3"/>
    <w:rsid w:val="00682C60"/>
    <w:rsid w:val="006A6882"/>
    <w:rsid w:val="006B0E30"/>
    <w:rsid w:val="006E0620"/>
    <w:rsid w:val="006E11FE"/>
    <w:rsid w:val="006E53FB"/>
    <w:rsid w:val="00704A29"/>
    <w:rsid w:val="007163CC"/>
    <w:rsid w:val="00716CED"/>
    <w:rsid w:val="00716E88"/>
    <w:rsid w:val="00725F92"/>
    <w:rsid w:val="0074118F"/>
    <w:rsid w:val="007422B2"/>
    <w:rsid w:val="00754CCB"/>
    <w:rsid w:val="00760AD9"/>
    <w:rsid w:val="00785DEE"/>
    <w:rsid w:val="00793440"/>
    <w:rsid w:val="007A6CEE"/>
    <w:rsid w:val="007A7746"/>
    <w:rsid w:val="007B2C97"/>
    <w:rsid w:val="007B2FCA"/>
    <w:rsid w:val="007B39E1"/>
    <w:rsid w:val="007C19D8"/>
    <w:rsid w:val="007C2B22"/>
    <w:rsid w:val="007C4445"/>
    <w:rsid w:val="007D0A58"/>
    <w:rsid w:val="007E70D3"/>
    <w:rsid w:val="007F0535"/>
    <w:rsid w:val="007F2D1D"/>
    <w:rsid w:val="008009F4"/>
    <w:rsid w:val="00802FF4"/>
    <w:rsid w:val="00830564"/>
    <w:rsid w:val="00834F6D"/>
    <w:rsid w:val="0084339B"/>
    <w:rsid w:val="00843A9B"/>
    <w:rsid w:val="00847788"/>
    <w:rsid w:val="00850563"/>
    <w:rsid w:val="00850798"/>
    <w:rsid w:val="00875103"/>
    <w:rsid w:val="008825CF"/>
    <w:rsid w:val="00890845"/>
    <w:rsid w:val="00890FF4"/>
    <w:rsid w:val="008949C3"/>
    <w:rsid w:val="008F0D49"/>
    <w:rsid w:val="0090738D"/>
    <w:rsid w:val="00926E46"/>
    <w:rsid w:val="00927493"/>
    <w:rsid w:val="0094677A"/>
    <w:rsid w:val="00976905"/>
    <w:rsid w:val="009B5055"/>
    <w:rsid w:val="009D1655"/>
    <w:rsid w:val="009D6247"/>
    <w:rsid w:val="009E11FB"/>
    <w:rsid w:val="009F0A3E"/>
    <w:rsid w:val="00A23C0F"/>
    <w:rsid w:val="00A54FF1"/>
    <w:rsid w:val="00A55952"/>
    <w:rsid w:val="00A55D2C"/>
    <w:rsid w:val="00A7404E"/>
    <w:rsid w:val="00A809D1"/>
    <w:rsid w:val="00A9186A"/>
    <w:rsid w:val="00AA270E"/>
    <w:rsid w:val="00AA6C7E"/>
    <w:rsid w:val="00AB2EED"/>
    <w:rsid w:val="00AB6573"/>
    <w:rsid w:val="00AB73F2"/>
    <w:rsid w:val="00AB7C42"/>
    <w:rsid w:val="00AC6EE0"/>
    <w:rsid w:val="00AD2E8E"/>
    <w:rsid w:val="00AD3580"/>
    <w:rsid w:val="00AE48D1"/>
    <w:rsid w:val="00AF4892"/>
    <w:rsid w:val="00B05461"/>
    <w:rsid w:val="00B2263A"/>
    <w:rsid w:val="00B474CA"/>
    <w:rsid w:val="00B5009D"/>
    <w:rsid w:val="00B57157"/>
    <w:rsid w:val="00B62BA2"/>
    <w:rsid w:val="00B71F78"/>
    <w:rsid w:val="00B75F59"/>
    <w:rsid w:val="00B816EB"/>
    <w:rsid w:val="00B87C34"/>
    <w:rsid w:val="00B93ED2"/>
    <w:rsid w:val="00B97693"/>
    <w:rsid w:val="00BD2EEC"/>
    <w:rsid w:val="00BF786B"/>
    <w:rsid w:val="00C00745"/>
    <w:rsid w:val="00C05B3B"/>
    <w:rsid w:val="00C07901"/>
    <w:rsid w:val="00C10D2C"/>
    <w:rsid w:val="00C143CD"/>
    <w:rsid w:val="00C327ED"/>
    <w:rsid w:val="00C3395F"/>
    <w:rsid w:val="00C57C10"/>
    <w:rsid w:val="00C90056"/>
    <w:rsid w:val="00C909B8"/>
    <w:rsid w:val="00C96AF3"/>
    <w:rsid w:val="00CB196C"/>
    <w:rsid w:val="00CB6E00"/>
    <w:rsid w:val="00CB7C5B"/>
    <w:rsid w:val="00CC474D"/>
    <w:rsid w:val="00CD567F"/>
    <w:rsid w:val="00CD7FE6"/>
    <w:rsid w:val="00CF265F"/>
    <w:rsid w:val="00CF4DCF"/>
    <w:rsid w:val="00CF54C6"/>
    <w:rsid w:val="00CF7598"/>
    <w:rsid w:val="00D013E9"/>
    <w:rsid w:val="00D43796"/>
    <w:rsid w:val="00D65EA7"/>
    <w:rsid w:val="00D67D8C"/>
    <w:rsid w:val="00D83941"/>
    <w:rsid w:val="00D859F9"/>
    <w:rsid w:val="00D9586C"/>
    <w:rsid w:val="00D97B44"/>
    <w:rsid w:val="00DB25B5"/>
    <w:rsid w:val="00E030CC"/>
    <w:rsid w:val="00E278FD"/>
    <w:rsid w:val="00E36020"/>
    <w:rsid w:val="00E46CD8"/>
    <w:rsid w:val="00E77A08"/>
    <w:rsid w:val="00E909D8"/>
    <w:rsid w:val="00E9631E"/>
    <w:rsid w:val="00EB4576"/>
    <w:rsid w:val="00EC3241"/>
    <w:rsid w:val="00EC5DDB"/>
    <w:rsid w:val="00EE0A06"/>
    <w:rsid w:val="00F0362A"/>
    <w:rsid w:val="00F12DD0"/>
    <w:rsid w:val="00F26E5F"/>
    <w:rsid w:val="00F46EAD"/>
    <w:rsid w:val="00F55230"/>
    <w:rsid w:val="00F6090C"/>
    <w:rsid w:val="00F74CAA"/>
    <w:rsid w:val="00F75FF7"/>
    <w:rsid w:val="00F767BC"/>
    <w:rsid w:val="00F96BDC"/>
    <w:rsid w:val="00FB5894"/>
    <w:rsid w:val="00FC6B9D"/>
    <w:rsid w:val="00FD0ABF"/>
    <w:rsid w:val="00FD37FE"/>
    <w:rsid w:val="00FE09D6"/>
    <w:rsid w:val="057C1E2E"/>
    <w:rsid w:val="05FA6C20"/>
    <w:rsid w:val="07552B46"/>
    <w:rsid w:val="1A527DA9"/>
    <w:rsid w:val="34167120"/>
    <w:rsid w:val="3CC47A54"/>
    <w:rsid w:val="3F153C30"/>
    <w:rsid w:val="3F5A3225"/>
    <w:rsid w:val="4ADC4CE7"/>
    <w:rsid w:val="4C7E11DF"/>
    <w:rsid w:val="552305C9"/>
    <w:rsid w:val="57154E7E"/>
    <w:rsid w:val="5825777D"/>
    <w:rsid w:val="69CC3A4A"/>
    <w:rsid w:val="71435B0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0" w:name="footnote reference"/>
    <w:lsdException w:uiPriority="99" w:name="annotation reference"/>
    <w:lsdException w:uiPriority="99" w:name="line number"/>
    <w:lsdException w:uiPriority="99" w:name="page number"/>
    <w:lsdException w:qFormat="1" w:uiPriority="0" w:name="endnote reference"/>
    <w:lsdException w:qFormat="1"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atentStyles>
  <w:style w:type="paragraph" w:default="1" w:styleId="1">
    <w:name w:val="Normal"/>
    <w:qFormat/>
    <w:uiPriority w:val="0"/>
    <w:pPr>
      <w:widowControl w:val="0"/>
      <w:suppressAutoHyphens/>
      <w:autoSpaceDN w:val="0"/>
      <w:textAlignment w:val="baseline"/>
    </w:pPr>
    <w:rPr>
      <w:rFonts w:ascii="Times New Roman" w:hAnsi="Times New Roman" w:eastAsia="SimSun" w:cs="Mangal"/>
      <w:kern w:val="3"/>
      <w:sz w:val="24"/>
      <w:szCs w:val="24"/>
      <w:lang w:val="es-MX" w:eastAsia="zh-CN" w:bidi="hi-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ndnote reference"/>
    <w:basedOn w:val="2"/>
    <w:semiHidden/>
    <w:unhideWhenUsed/>
    <w:qFormat/>
    <w:uiPriority w:val="0"/>
    <w:rPr>
      <w:vertAlign w:val="superscript"/>
    </w:rPr>
  </w:style>
  <w:style w:type="character" w:styleId="5">
    <w:name w:val="footnote reference"/>
    <w:basedOn w:val="2"/>
    <w:semiHidden/>
    <w:unhideWhenUsed/>
    <w:qFormat/>
    <w:uiPriority w:val="0"/>
    <w:rPr>
      <w:vertAlign w:val="superscript"/>
    </w:rPr>
  </w:style>
  <w:style w:type="paragraph" w:styleId="6">
    <w:name w:val="footnote text"/>
    <w:basedOn w:val="1"/>
    <w:link w:val="21"/>
    <w:semiHidden/>
    <w:unhideWhenUsed/>
    <w:qFormat/>
    <w:uiPriority w:val="99"/>
    <w:rPr>
      <w:sz w:val="20"/>
      <w:szCs w:val="18"/>
    </w:rPr>
  </w:style>
  <w:style w:type="paragraph" w:styleId="7">
    <w:name w:val="caption"/>
    <w:basedOn w:val="8"/>
    <w:next w:val="1"/>
    <w:qFormat/>
    <w:uiPriority w:val="0"/>
    <w:pPr>
      <w:suppressLineNumbers/>
      <w:spacing w:before="120" w:after="120"/>
    </w:pPr>
    <w:rPr>
      <w:i/>
      <w:iCs/>
    </w:rPr>
  </w:style>
  <w:style w:type="paragraph" w:customStyle="1" w:styleId="8">
    <w:name w:val="Standard"/>
    <w:qFormat/>
    <w:uiPriority w:val="0"/>
    <w:pPr>
      <w:widowControl w:val="0"/>
      <w:suppressAutoHyphens/>
      <w:autoSpaceDN w:val="0"/>
      <w:textAlignment w:val="baseline"/>
    </w:pPr>
    <w:rPr>
      <w:rFonts w:ascii="Times New Roman" w:hAnsi="Times New Roman" w:eastAsia="SimSun" w:cs="Mangal"/>
      <w:kern w:val="3"/>
      <w:sz w:val="24"/>
      <w:szCs w:val="24"/>
      <w:lang w:val="es-MX" w:eastAsia="zh-CN" w:bidi="hi-IN"/>
    </w:rPr>
  </w:style>
  <w:style w:type="paragraph" w:styleId="9">
    <w:name w:val="endnote text"/>
    <w:basedOn w:val="1"/>
    <w:semiHidden/>
    <w:unhideWhenUsed/>
    <w:qFormat/>
    <w:uiPriority w:val="99"/>
    <w:pPr>
      <w:snapToGrid w:val="0"/>
      <w:jc w:val="left"/>
    </w:pPr>
  </w:style>
  <w:style w:type="paragraph" w:styleId="10">
    <w:name w:val="Balloon Text"/>
    <w:basedOn w:val="1"/>
    <w:link w:val="24"/>
    <w:semiHidden/>
    <w:unhideWhenUsed/>
    <w:qFormat/>
    <w:uiPriority w:val="99"/>
    <w:rPr>
      <w:rFonts w:ascii="Tahoma" w:hAnsi="Tahoma"/>
      <w:sz w:val="16"/>
      <w:szCs w:val="14"/>
    </w:rPr>
  </w:style>
  <w:style w:type="paragraph" w:styleId="11">
    <w:name w:val="header"/>
    <w:basedOn w:val="1"/>
    <w:link w:val="22"/>
    <w:unhideWhenUsed/>
    <w:qFormat/>
    <w:uiPriority w:val="99"/>
    <w:pPr>
      <w:tabs>
        <w:tab w:val="center" w:pos="4419"/>
        <w:tab w:val="right" w:pos="8838"/>
      </w:tabs>
    </w:pPr>
    <w:rPr>
      <w:szCs w:val="21"/>
    </w:rPr>
  </w:style>
  <w:style w:type="paragraph" w:styleId="12">
    <w:name w:val="List"/>
    <w:basedOn w:val="13"/>
    <w:qFormat/>
    <w:uiPriority w:val="0"/>
  </w:style>
  <w:style w:type="paragraph" w:customStyle="1" w:styleId="13">
    <w:name w:val="Text body"/>
    <w:basedOn w:val="8"/>
    <w:qFormat/>
    <w:uiPriority w:val="0"/>
    <w:pPr>
      <w:spacing w:after="120"/>
    </w:pPr>
  </w:style>
  <w:style w:type="paragraph" w:styleId="14">
    <w:name w:val="footer"/>
    <w:basedOn w:val="1"/>
    <w:link w:val="23"/>
    <w:unhideWhenUsed/>
    <w:qFormat/>
    <w:uiPriority w:val="99"/>
    <w:pPr>
      <w:tabs>
        <w:tab w:val="center" w:pos="4419"/>
        <w:tab w:val="right" w:pos="8838"/>
      </w:tabs>
    </w:pPr>
    <w:rPr>
      <w:szCs w:val="21"/>
    </w:rPr>
  </w:style>
  <w:style w:type="paragraph" w:styleId="15">
    <w:name w:val="Body Text"/>
    <w:basedOn w:val="1"/>
    <w:link w:val="20"/>
    <w:semiHidden/>
    <w:unhideWhenUsed/>
    <w:qFormat/>
    <w:uiPriority w:val="0"/>
    <w:pPr>
      <w:tabs>
        <w:tab w:val="left" w:pos="-720"/>
      </w:tabs>
      <w:overflowPunct w:val="0"/>
      <w:autoSpaceDE w:val="0"/>
      <w:adjustRightInd w:val="0"/>
      <w:spacing w:line="240" w:lineRule="atLeast"/>
      <w:jc w:val="both"/>
      <w:textAlignment w:val="auto"/>
    </w:pPr>
    <w:rPr>
      <w:rFonts w:ascii="Courier New" w:hAnsi="Courier New" w:eastAsia="Times New Roman" w:cs="Times New Roman"/>
      <w:spacing w:val="-2"/>
      <w:kern w:val="0"/>
      <w:szCs w:val="20"/>
      <w:lang w:eastAsia="es-MX" w:bidi="ar-SA"/>
    </w:rPr>
  </w:style>
  <w:style w:type="paragraph" w:styleId="16">
    <w:name w:val="Title"/>
    <w:basedOn w:val="1"/>
    <w:link w:val="19"/>
    <w:qFormat/>
    <w:uiPriority w:val="0"/>
    <w:pPr>
      <w:suppressAutoHyphens w:val="0"/>
      <w:overflowPunct w:val="0"/>
      <w:autoSpaceDE w:val="0"/>
      <w:adjustRightInd w:val="0"/>
      <w:textAlignment w:val="auto"/>
    </w:pPr>
    <w:rPr>
      <w:rFonts w:ascii="Courier New" w:hAnsi="Courier New" w:eastAsia="Times New Roman" w:cs="Times New Roman"/>
      <w:kern w:val="0"/>
      <w:szCs w:val="20"/>
      <w:lang w:val="es-ES" w:eastAsia="es-MX" w:bidi="ar-SA"/>
    </w:rPr>
  </w:style>
  <w:style w:type="paragraph" w:customStyle="1" w:styleId="17">
    <w:name w:val="Heading"/>
    <w:basedOn w:val="8"/>
    <w:next w:val="13"/>
    <w:qFormat/>
    <w:uiPriority w:val="0"/>
    <w:pPr>
      <w:keepNext/>
      <w:spacing w:before="240" w:after="120"/>
    </w:pPr>
    <w:rPr>
      <w:rFonts w:ascii="Arial" w:hAnsi="Arial" w:eastAsia="Microsoft YaHei"/>
      <w:sz w:val="28"/>
      <w:szCs w:val="28"/>
    </w:rPr>
  </w:style>
  <w:style w:type="paragraph" w:customStyle="1" w:styleId="18">
    <w:name w:val="Index"/>
    <w:basedOn w:val="8"/>
    <w:qFormat/>
    <w:uiPriority w:val="0"/>
    <w:pPr>
      <w:suppressLineNumbers/>
    </w:pPr>
  </w:style>
  <w:style w:type="character" w:customStyle="1" w:styleId="19">
    <w:name w:val="Título Car"/>
    <w:basedOn w:val="2"/>
    <w:link w:val="16"/>
    <w:qFormat/>
    <w:uiPriority w:val="0"/>
    <w:rPr>
      <w:rFonts w:ascii="Courier New" w:hAnsi="Courier New" w:eastAsia="Times New Roman" w:cs="Times New Roman"/>
      <w:kern w:val="0"/>
      <w:szCs w:val="20"/>
      <w:lang w:val="es-ES" w:eastAsia="es-MX" w:bidi="ar-SA"/>
    </w:rPr>
  </w:style>
  <w:style w:type="character" w:customStyle="1" w:styleId="20">
    <w:name w:val="Texto independiente Car"/>
    <w:basedOn w:val="2"/>
    <w:link w:val="15"/>
    <w:semiHidden/>
    <w:qFormat/>
    <w:uiPriority w:val="0"/>
    <w:rPr>
      <w:rFonts w:ascii="Courier New" w:hAnsi="Courier New" w:eastAsia="Times New Roman" w:cs="Times New Roman"/>
      <w:spacing w:val="-2"/>
      <w:kern w:val="0"/>
      <w:szCs w:val="20"/>
      <w:lang w:eastAsia="es-MX" w:bidi="ar-SA"/>
    </w:rPr>
  </w:style>
  <w:style w:type="character" w:customStyle="1" w:styleId="21">
    <w:name w:val="Texto nota pie Car"/>
    <w:basedOn w:val="2"/>
    <w:link w:val="6"/>
    <w:semiHidden/>
    <w:qFormat/>
    <w:uiPriority w:val="99"/>
    <w:rPr>
      <w:sz w:val="20"/>
      <w:szCs w:val="18"/>
    </w:rPr>
  </w:style>
  <w:style w:type="character" w:customStyle="1" w:styleId="22">
    <w:name w:val="Encabezado Car"/>
    <w:basedOn w:val="2"/>
    <w:link w:val="11"/>
    <w:qFormat/>
    <w:uiPriority w:val="99"/>
    <w:rPr>
      <w:szCs w:val="21"/>
    </w:rPr>
  </w:style>
  <w:style w:type="character" w:customStyle="1" w:styleId="23">
    <w:name w:val="Pie de página Car"/>
    <w:basedOn w:val="2"/>
    <w:link w:val="14"/>
    <w:qFormat/>
    <w:uiPriority w:val="99"/>
    <w:rPr>
      <w:szCs w:val="21"/>
    </w:rPr>
  </w:style>
  <w:style w:type="character" w:customStyle="1" w:styleId="24">
    <w:name w:val="Texto de globo Car"/>
    <w:basedOn w:val="2"/>
    <w:link w:val="10"/>
    <w:semiHidden/>
    <w:qFormat/>
    <w:uiPriority w:val="99"/>
    <w:rPr>
      <w:rFonts w:ascii="Tahoma" w:hAnsi="Tahoma"/>
      <w:sz w:val="16"/>
      <w:szCs w:val="14"/>
    </w:rPr>
  </w:style>
  <w:style w:type="paragraph" w:customStyle="1" w:styleId="25">
    <w:name w:val="referencias"/>
    <w:basedOn w:val="1"/>
    <w:qFormat/>
    <w:uiPriority w:val="0"/>
    <w:pPr>
      <w:widowControl/>
      <w:suppressAutoHyphens w:val="0"/>
      <w:autoSpaceDN/>
      <w:spacing w:before="240" w:after="240"/>
      <w:textAlignment w:val="auto"/>
    </w:pPr>
    <w:rPr>
      <w:rFonts w:eastAsia="Times New Roman" w:cs="Times New Roman"/>
      <w:kern w:val="0"/>
      <w:lang w:eastAsia="es-MX" w:bidi="ar-SA"/>
    </w:rPr>
  </w:style>
  <w:style w:type="character" w:customStyle="1" w:styleId="26">
    <w:name w:val="referencias1"/>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GIF"/><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NULL"/><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94EA34-84DC-4B44-A159-59D45C987FEA}">
  <ds:schemaRefs/>
</ds:datastoreItem>
</file>

<file path=docProps/app.xml><?xml version="1.0" encoding="utf-8"?>
<Properties xmlns="http://schemas.openxmlformats.org/officeDocument/2006/extended-properties" xmlns:vt="http://schemas.openxmlformats.org/officeDocument/2006/docPropsVTypes">
  <Template>Normal</Template>
  <Pages>40</Pages>
  <Words>8970</Words>
  <Characters>45780</Characters>
  <Lines>352</Lines>
  <Paragraphs>99</Paragraphs>
  <TotalTime>2</TotalTime>
  <ScaleCrop>false</ScaleCrop>
  <LinksUpToDate>false</LinksUpToDate>
  <CharactersWithSpaces>54702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2012-06-04T19:53:00Z</dcterms:created>
  <dc:creator>Jorge Amos Martínez Ayala</dc:creator>
  <cp:lastModifiedBy>Jorge Amos Martinez Ayala</cp:lastModifiedBy>
  <dcterms:modified xsi:type="dcterms:W3CDTF">2022-04-26T22:25:03Z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2058-11.2.0.11074</vt:lpwstr>
  </property>
  <property fmtid="{D5CDD505-2E9C-101B-9397-08002B2CF9AE}" pid="3" name="ICV">
    <vt:lpwstr>D3D3972080B34E5C911506A373753438</vt:lpwstr>
  </property>
</Properties>
</file>