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Optimizing User, Group, and Role Management with Access Control and Workflows</w:t>
      </w:r>
    </w:p>
    <w:p>
      <w:r>
        <w:t>Submitted by: Balakumaran K</w:t>
        <w:br/>
        <w:t>University College of Engineering, Ariyalur</w:t>
        <w:br/>
        <w:t>Date: November 2, 2025</w:t>
      </w:r>
    </w:p>
    <w:p>
      <w:r>
        <w:br w:type="page"/>
      </w:r>
    </w:p>
    <w:p>
      <w:pPr>
        <w:pStyle w:val="Heading1"/>
      </w:pPr>
      <w:r>
        <w:t>Performance Testing Phase</w:t>
      </w:r>
    </w:p>
    <w:p>
      <w:r>
        <w:t>Testing Scenarios:</w:t>
        <w:br/>
        <w:t>T1: Bob creates task → Pass</w:t>
        <w:br/>
        <w:t>T2: Alice approves → Pass</w:t>
        <w:br/>
        <w:t>T3: Restricted fields check → Pass</w:t>
        <w:br/>
        <w:br/>
        <w:t>Results:</w:t>
        <w:br/>
        <w:t>- Bob restricted by ACL</w:t>
        <w:br/>
        <w:t>- Alice’s approval finalizes workflow</w:t>
        <w:br/>
        <w:t>- Flow Designer logs show successful execution</w:t>
        <w:br/>
        <w:br/>
        <w:t>Insert Screenshot: Flow Execution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