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16 - Solutions</w:t>
      </w:r>
    </w:p>
    <w:p>
      <w:pPr>
        <w:pStyle w:val="Heading2"/>
      </w:pPr>
      <w:r>
        <w:t>Topic: Working with APIs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test('Working with APIs example', async ({ page }) =&gt; {</w:t>
        <w:br/>
        <w:t xml:space="preserve">  await page.goto('https://example.com');</w:t>
        <w:br/>
        <w:br/>
        <w:t xml:space="preserve">  // Demonstration for: What is an API</w:t>
        <w:br/>
        <w:t>Perform API testing for CRUD Operations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