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17 - Solutions</w:t>
      </w:r>
    </w:p>
    <w:p>
      <w:pPr>
        <w:pStyle w:val="Heading2"/>
      </w:pPr>
      <w:r>
        <w:t>Topic: Working with APIs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test('Working with APIs example', async ({ page }) =&gt; {</w:t>
        <w:br/>
        <w:t xml:space="preserve">  await page.goto('https://example.com');</w:t>
        <w:br/>
        <w:br/>
        <w:t xml:space="preserve">  // Demonstration for: Mocking API</w:t>
        <w:br/>
        <w:t>Modify API Response</w:t>
        <w:br/>
        <w:t>Perform API Request</w:t>
        <w:br/>
        <w:br/>
        <w:t xml:space="preserve">  await expect(page).toHaveTitle(/Example/);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