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19 - Solutions</w:t>
      </w:r>
    </w:p>
    <w:p>
      <w:pPr>
        <w:pStyle w:val="Heading2"/>
      </w:pPr>
      <w:r>
        <w:t>Topic: Playwright Cucumber Framework Integration</w:t>
      </w:r>
    </w:p>
    <w:p>
      <w:r>
        <w:rPr>
          <w:b w:val="0"/>
          <w:sz w:val="20"/>
        </w:rPr>
        <w:t>// Sample TypeScript / Playwright Solution</w:t>
        <w:br/>
        <w:t>import { test, expect } from '@playwright/test';</w:t>
        <w:br/>
        <w:br/>
        <w:t>test('Playwright Cucumber Framework Integration example', async ({ page }) =&gt; {</w:t>
        <w:br/>
        <w:t xml:space="preserve">  await page.goto('https://example.com');</w:t>
        <w:br/>
        <w:br/>
        <w:t xml:space="preserve">  // Demonstration for: What is Cucumber and how it fits to </w:t>
        <w:br/>
        <w:t>Playwright Needs</w:t>
        <w:br/>
        <w:t xml:space="preserve">Cucumber Configuration and setup </w:t>
        <w:br/>
        <w:t>feature files into Playwright Pr</w:t>
        <w:br/>
        <w:br/>
        <w:t xml:space="preserve">  await expect(page).toHaveTitle(/Example/);</w:t>
        <w:br/>
        <w:t>});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